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50"/>
        <w:rPr>
          <w:rFonts w:ascii="??_GB2312" w:hAnsi="??_GB2312" w:cs="??_GB2312"/>
          <w:b/>
          <w:bCs/>
          <w:kern w:val="44"/>
          <w:sz w:val="72"/>
          <w:szCs w:val="72"/>
        </w:rPr>
      </w:pPr>
      <w:bookmarkStart w:id="120" w:name="_GoBack"/>
      <w:bookmarkEnd w:id="120"/>
    </w:p>
    <w:p>
      <w:pPr>
        <w:ind w:firstLine="361" w:firstLineChars="50"/>
        <w:rPr>
          <w:rFonts w:ascii="??_GB2312" w:hAnsi="??_GB2312" w:cs="??_GB2312"/>
          <w:b/>
          <w:bCs/>
          <w:kern w:val="44"/>
          <w:sz w:val="72"/>
          <w:szCs w:val="72"/>
        </w:rPr>
      </w:pPr>
    </w:p>
    <w:p>
      <w:pPr>
        <w:ind w:firstLine="318" w:firstLineChars="50"/>
        <w:jc w:val="center"/>
        <w:rPr>
          <w:rFonts w:ascii="??_GB2312" w:hAnsi="??_GB2312" w:cs="??_GB2312"/>
          <w:b/>
          <w:bCs/>
          <w:spacing w:val="57"/>
          <w:kern w:val="44"/>
          <w:sz w:val="52"/>
          <w:szCs w:val="52"/>
        </w:rPr>
      </w:pPr>
      <w:r>
        <w:rPr>
          <w:rFonts w:hint="eastAsia" w:ascii="宋体" w:hAnsi="宋体" w:cs="宋体"/>
          <w:b/>
          <w:bCs/>
          <w:spacing w:val="57"/>
          <w:kern w:val="44"/>
          <w:sz w:val="52"/>
          <w:szCs w:val="52"/>
        </w:rPr>
        <w:t>四平市矿产资源总体规划</w:t>
      </w:r>
    </w:p>
    <w:p>
      <w:pPr>
        <w:ind w:firstLine="0" w:firstLineChars="0"/>
        <w:jc w:val="center"/>
        <w:rPr>
          <w:rFonts w:ascii="??_GB2312" w:hAnsi="??_GB2312" w:cs="??_GB2312"/>
          <w:sz w:val="44"/>
          <w:szCs w:val="44"/>
          <w:lang w:val="en-GB"/>
        </w:rPr>
      </w:pPr>
    </w:p>
    <w:p>
      <w:pPr>
        <w:ind w:firstLine="0" w:firstLineChars="0"/>
        <w:jc w:val="center"/>
        <w:rPr>
          <w:rFonts w:ascii="??_GB2312" w:hAnsi="??_GB2312" w:cs="??_GB2312"/>
          <w:b/>
          <w:bCs/>
          <w:sz w:val="44"/>
          <w:szCs w:val="44"/>
          <w:lang w:val="en-GB"/>
        </w:rPr>
      </w:pPr>
      <w:r>
        <w:rPr>
          <w:rFonts w:hint="eastAsia" w:ascii="宋体" w:hAnsi="宋体" w:cs="宋体"/>
          <w:sz w:val="44"/>
          <w:szCs w:val="44"/>
          <w:lang w:val="en-GB"/>
        </w:rPr>
        <w:t>（</w:t>
      </w:r>
      <w:r>
        <w:rPr>
          <w:rFonts w:ascii="??_GB2312" w:hAnsi="??_GB2312" w:cs="??_GB2312"/>
          <w:sz w:val="44"/>
          <w:szCs w:val="44"/>
          <w:lang w:val="en-GB"/>
        </w:rPr>
        <w:t>2021-2025</w:t>
      </w:r>
      <w:r>
        <w:rPr>
          <w:rFonts w:hint="eastAsia" w:ascii="宋体" w:hAnsi="宋体" w:cs="宋体"/>
          <w:sz w:val="44"/>
          <w:szCs w:val="44"/>
          <w:lang w:val="en-GB"/>
        </w:rPr>
        <w:t>年</w:t>
      </w:r>
      <w:r>
        <w:rPr>
          <w:rFonts w:hint="eastAsia" w:ascii="宋体" w:hAnsi="宋体" w:cs="宋体"/>
          <w:b/>
          <w:bCs/>
          <w:sz w:val="44"/>
          <w:szCs w:val="44"/>
          <w:lang w:val="en-GB"/>
        </w:rPr>
        <w:t>）</w:t>
      </w:r>
    </w:p>
    <w:p>
      <w:pPr>
        <w:ind w:firstLine="0" w:firstLineChars="0"/>
        <w:jc w:val="center"/>
        <w:rPr>
          <w:rFonts w:ascii="??_GB2312" w:hAnsi="??_GB2312" w:cs="??_GB2312"/>
          <w:b/>
          <w:bCs/>
          <w:sz w:val="36"/>
          <w:szCs w:val="36"/>
          <w:lang w:val="en-GB"/>
        </w:rPr>
      </w:pPr>
    </w:p>
    <w:p>
      <w:pPr>
        <w:ind w:firstLine="0" w:firstLineChars="0"/>
        <w:jc w:val="center"/>
        <w:rPr>
          <w:rFonts w:ascii="??_GB2312" w:hAnsi="??_GB2312" w:cs="??_GB2312"/>
          <w:b/>
          <w:bCs/>
          <w:sz w:val="36"/>
          <w:szCs w:val="36"/>
          <w:lang w:val="en-GB"/>
        </w:rPr>
      </w:pPr>
    </w:p>
    <w:p>
      <w:pPr>
        <w:ind w:firstLine="0" w:firstLineChars="0"/>
        <w:jc w:val="center"/>
        <w:rPr>
          <w:rFonts w:ascii="??_GB2312" w:hAnsi="??_GB2312" w:cs="??_GB2312"/>
          <w:b/>
          <w:bCs/>
          <w:sz w:val="52"/>
          <w:szCs w:val="52"/>
          <w:lang w:val="en-GB"/>
        </w:rPr>
      </w:pPr>
    </w:p>
    <w:p>
      <w:pPr>
        <w:tabs>
          <w:tab w:val="left" w:pos="8080"/>
        </w:tabs>
        <w:ind w:firstLine="643"/>
        <w:jc w:val="center"/>
        <w:rPr>
          <w:rFonts w:ascii="??_GB2312" w:hAnsi="??_GB2312" w:cs="??_GB2312"/>
          <w:b/>
          <w:bCs/>
          <w:kern w:val="0"/>
          <w:sz w:val="32"/>
          <w:szCs w:val="32"/>
        </w:rPr>
      </w:pPr>
    </w:p>
    <w:p>
      <w:pPr>
        <w:ind w:firstLine="640"/>
        <w:jc w:val="center"/>
        <w:rPr>
          <w:rFonts w:ascii="??_GB2312" w:hAnsi="??_GB2312" w:cs="??_GB2312"/>
          <w:kern w:val="0"/>
          <w:sz w:val="32"/>
          <w:szCs w:val="32"/>
        </w:rPr>
      </w:pPr>
    </w:p>
    <w:p>
      <w:pPr>
        <w:ind w:firstLine="640"/>
        <w:jc w:val="center"/>
        <w:rPr>
          <w:rFonts w:ascii="??_GB2312" w:hAnsi="??_GB2312" w:cs="??_GB2312"/>
          <w:kern w:val="0"/>
          <w:sz w:val="32"/>
          <w:szCs w:val="32"/>
        </w:rPr>
      </w:pPr>
    </w:p>
    <w:p>
      <w:pPr>
        <w:ind w:firstLine="640"/>
        <w:jc w:val="center"/>
        <w:rPr>
          <w:rFonts w:ascii="??_GB2312" w:hAnsi="??_GB2312" w:cs="??_GB2312"/>
          <w:kern w:val="0"/>
          <w:sz w:val="32"/>
          <w:szCs w:val="32"/>
        </w:rPr>
      </w:pPr>
    </w:p>
    <w:p>
      <w:pPr>
        <w:ind w:firstLine="640"/>
        <w:jc w:val="center"/>
        <w:rPr>
          <w:rFonts w:ascii="??_GB2312" w:hAnsi="??_GB2312" w:cs="??_GB2312"/>
          <w:kern w:val="0"/>
          <w:sz w:val="32"/>
          <w:szCs w:val="32"/>
        </w:rPr>
      </w:pPr>
    </w:p>
    <w:p>
      <w:pPr>
        <w:pStyle w:val="32"/>
        <w:ind w:firstLine="640"/>
        <w:rPr>
          <w:rFonts w:ascii="??_GB2312" w:hAnsi="??_GB2312" w:cs="??_GB2312"/>
          <w:sz w:val="32"/>
          <w:szCs w:val="32"/>
        </w:rPr>
      </w:pPr>
    </w:p>
    <w:p>
      <w:pPr>
        <w:ind w:firstLine="643"/>
        <w:jc w:val="center"/>
        <w:rPr>
          <w:rFonts w:ascii="??_GB2312" w:hAnsi="??_GB2312" w:cs="??_GB2312"/>
          <w:b/>
          <w:bCs/>
          <w:kern w:val="0"/>
          <w:sz w:val="32"/>
          <w:szCs w:val="32"/>
        </w:rPr>
      </w:pPr>
    </w:p>
    <w:p>
      <w:pPr>
        <w:ind w:firstLine="643"/>
        <w:jc w:val="center"/>
        <w:rPr>
          <w:rFonts w:ascii="??_GB2312" w:hAnsi="??_GB2312" w:cs="??_GB2312"/>
          <w:b/>
          <w:bCs/>
          <w:kern w:val="0"/>
          <w:sz w:val="32"/>
          <w:szCs w:val="32"/>
        </w:rPr>
      </w:pPr>
    </w:p>
    <w:p>
      <w:pPr>
        <w:ind w:firstLine="640"/>
        <w:jc w:val="center"/>
        <w:rPr>
          <w:rFonts w:ascii="??_GB2312" w:hAnsi="??_GB2312" w:cs="??_GB2312"/>
          <w:kern w:val="0"/>
          <w:sz w:val="32"/>
          <w:szCs w:val="32"/>
        </w:rPr>
      </w:pPr>
    </w:p>
    <w:p>
      <w:pPr>
        <w:ind w:firstLine="723"/>
        <w:jc w:val="center"/>
        <w:rPr>
          <w:rFonts w:ascii="??_GB2312" w:hAnsi="??_GB2312" w:cs="??_GB2312"/>
          <w:b/>
          <w:bCs/>
          <w:kern w:val="0"/>
          <w:sz w:val="32"/>
          <w:szCs w:val="32"/>
        </w:rPr>
      </w:pPr>
      <w:r>
        <w:rPr>
          <w:rFonts w:hint="eastAsia" w:ascii="宋体" w:hAnsi="宋体" w:cs="宋体"/>
          <w:b/>
          <w:bCs/>
          <w:spacing w:val="20"/>
          <w:sz w:val="32"/>
          <w:szCs w:val="32"/>
        </w:rPr>
        <w:t>二〇二二年</w:t>
      </w:r>
      <w:r>
        <w:rPr>
          <w:rFonts w:hint="eastAsia" w:ascii="宋体" w:hAnsi="宋体" w:cs="宋体"/>
          <w:b/>
          <w:bCs/>
          <w:spacing w:val="20"/>
          <w:sz w:val="32"/>
          <w:szCs w:val="32"/>
          <w:lang w:eastAsia="zh-CN"/>
        </w:rPr>
        <w:t>十一</w:t>
      </w:r>
      <w:r>
        <w:rPr>
          <w:rFonts w:hint="eastAsia" w:ascii="宋体" w:hAnsi="宋体" w:cs="宋体"/>
          <w:b/>
          <w:bCs/>
          <w:spacing w:val="20"/>
          <w:sz w:val="32"/>
          <w:szCs w:val="32"/>
        </w:rPr>
        <w:t>月</w:t>
      </w:r>
    </w:p>
    <w:p>
      <w:pPr>
        <w:ind w:firstLine="560"/>
        <w:rPr>
          <w:rFonts w:ascii="??_GB2312" w:hAnsi="??_GB2312" w:cs="??_GB2312"/>
        </w:rPr>
      </w:pPr>
    </w:p>
    <w:p>
      <w:pPr>
        <w:ind w:firstLine="560"/>
        <w:rPr>
          <w:rFonts w:ascii="??_GB2312" w:hAnsi="??_GB2312" w:cs="??_GB2312"/>
        </w:rPr>
      </w:pPr>
    </w:p>
    <w:p>
      <w:pPr>
        <w:ind w:firstLine="560"/>
        <w:rPr>
          <w:rFonts w:ascii="??_GB2312" w:hAnsi="??_GB2312" w:cs="??_GB2312"/>
        </w:rPr>
      </w:pPr>
    </w:p>
    <w:p>
      <w:pPr>
        <w:ind w:firstLine="560"/>
        <w:rPr>
          <w:rFonts w:ascii="??_GB2312" w:hAnsi="??_GB2312" w:cs="??_GB2312"/>
        </w:rPr>
        <w:sectPr>
          <w:headerReference r:id="rId6" w:type="first"/>
          <w:footerReference r:id="rId8" w:type="first"/>
          <w:headerReference r:id="rId5" w:type="default"/>
          <w:footerReference r:id="rId7" w:type="default"/>
          <w:type w:val="continuous"/>
          <w:pgSz w:w="11906" w:h="16838"/>
          <w:pgMar w:top="1418" w:right="1418" w:bottom="1418" w:left="1418" w:header="851" w:footer="567" w:gutter="0"/>
          <w:cols w:space="425" w:num="1"/>
          <w:titlePg/>
          <w:docGrid w:type="lines" w:linePitch="312" w:charSpace="0"/>
        </w:sectPr>
      </w:pPr>
    </w:p>
    <w:p>
      <w:pPr>
        <w:pStyle w:val="10"/>
        <w:ind w:left="0" w:firstLine="0" w:firstLineChars="0"/>
        <w:jc w:val="center"/>
        <w:rPr>
          <w:rFonts w:ascii="??_GB2312" w:hAnsi="??_GB2312" w:cs="??_GB2312"/>
          <w:b/>
          <w:bCs/>
          <w:i w:val="0"/>
          <w:iCs w:val="0"/>
          <w:sz w:val="36"/>
          <w:szCs w:val="36"/>
        </w:rPr>
      </w:pPr>
      <w:r>
        <w:rPr>
          <w:rFonts w:hint="eastAsia" w:ascii="宋体" w:hAnsi="宋体" w:cs="宋体"/>
          <w:b/>
          <w:bCs/>
          <w:i w:val="0"/>
          <w:iCs w:val="0"/>
          <w:sz w:val="36"/>
          <w:szCs w:val="36"/>
        </w:rPr>
        <w:t>目</w:t>
      </w:r>
      <w:r>
        <w:rPr>
          <w:rFonts w:ascii="??_GB2312" w:hAnsi="??_GB2312" w:cs="??_GB2312"/>
          <w:b/>
          <w:bCs/>
          <w:i w:val="0"/>
          <w:iCs w:val="0"/>
          <w:sz w:val="36"/>
          <w:szCs w:val="36"/>
        </w:rPr>
        <w:t xml:space="preserve">    </w:t>
      </w:r>
      <w:r>
        <w:rPr>
          <w:rFonts w:hint="eastAsia" w:ascii="宋体" w:hAnsi="宋体" w:cs="宋体"/>
          <w:b/>
          <w:bCs/>
          <w:i w:val="0"/>
          <w:iCs w:val="0"/>
          <w:sz w:val="36"/>
          <w:szCs w:val="36"/>
        </w:rPr>
        <w:t>录</w:t>
      </w:r>
    </w:p>
    <w:p>
      <w:pPr>
        <w:pStyle w:val="10"/>
        <w:tabs>
          <w:tab w:val="right" w:leader="dot" w:pos="9070"/>
        </w:tabs>
        <w:spacing w:line="400" w:lineRule="exact"/>
        <w:ind w:firstLine="360"/>
        <w:rPr>
          <w:rFonts w:ascii="仿宋" w:hAnsi="仿宋" w:eastAsia="仿宋" w:cs="Times New Roman"/>
          <w:i w:val="0"/>
          <w:iCs w:val="0"/>
          <w:sz w:val="24"/>
          <w:szCs w:val="24"/>
        </w:rPr>
      </w:pPr>
      <w:r>
        <w:rPr>
          <w:rFonts w:ascii="??_GB2312" w:hAnsi="??_GB2312" w:cs="??_GB2312"/>
          <w:kern w:val="0"/>
          <w:sz w:val="18"/>
          <w:szCs w:val="18"/>
        </w:rPr>
        <w:fldChar w:fldCharType="begin"/>
      </w:r>
      <w:r>
        <w:rPr>
          <w:rFonts w:ascii="??_GB2312" w:hAnsi="??_GB2312" w:cs="??_GB2312"/>
          <w:kern w:val="0"/>
          <w:sz w:val="18"/>
          <w:szCs w:val="18"/>
        </w:rPr>
        <w:instrText xml:space="preserve"> TOC \o "3-4" \h \z \u </w:instrText>
      </w:r>
      <w:r>
        <w:rPr>
          <w:rFonts w:ascii="??_GB2312" w:hAnsi="??_GB2312" w:cs="??_GB2312"/>
          <w:kern w:val="0"/>
          <w:sz w:val="18"/>
          <w:szCs w:val="18"/>
        </w:rPr>
        <w:fldChar w:fldCharType="separate"/>
      </w:r>
      <w:r>
        <w:fldChar w:fldCharType="begin"/>
      </w:r>
      <w:r>
        <w:instrText xml:space="preserve"> HYPERLINK \l "_Toc29961" </w:instrText>
      </w:r>
      <w:r>
        <w:fldChar w:fldCharType="separate"/>
      </w:r>
      <w:r>
        <w:rPr>
          <w:rFonts w:hint="eastAsia" w:ascii="仿宋" w:hAnsi="仿宋" w:eastAsia="仿宋" w:cs="仿宋"/>
          <w:i w:val="0"/>
          <w:iCs w:val="0"/>
          <w:sz w:val="24"/>
          <w:szCs w:val="24"/>
        </w:rPr>
        <w:t>第一章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现状与形势</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_Toc29961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"_Toc17702"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自然地理与经济社会发展概况</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_Toc17702 \h </w:instrText>
      </w:r>
      <w:r>
        <w:rPr>
          <w:rFonts w:ascii="仿宋" w:hAnsi="仿宋" w:eastAsia="仿宋" w:cs="仿宋"/>
          <w:sz w:val="24"/>
          <w:szCs w:val="24"/>
        </w:rPr>
        <w:fldChar w:fldCharType="separate"/>
      </w:r>
      <w:r>
        <w:rPr>
          <w:rFonts w:ascii="仿宋" w:hAnsi="仿宋" w:eastAsia="仿宋" w:cs="仿宋"/>
          <w:sz w:val="24"/>
          <w:szCs w:val="24"/>
        </w:rPr>
        <w:t>1</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"_Toc30590"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矿产资源概况和主要特点</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_Toc30590 \h </w:instrText>
      </w:r>
      <w:r>
        <w:rPr>
          <w:rFonts w:ascii="仿宋" w:hAnsi="仿宋" w:eastAsia="仿宋" w:cs="仿宋"/>
          <w:sz w:val="24"/>
          <w:szCs w:val="24"/>
        </w:rPr>
        <w:fldChar w:fldCharType="separate"/>
      </w:r>
      <w:r>
        <w:rPr>
          <w:rFonts w:ascii="仿宋" w:hAnsi="仿宋" w:eastAsia="仿宋" w:cs="仿宋"/>
          <w:sz w:val="24"/>
          <w:szCs w:val="24"/>
        </w:rPr>
        <w:t>1</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"_Toc20443" </w:instrText>
      </w:r>
      <w:r>
        <w:fldChar w:fldCharType="separate"/>
      </w:r>
      <w:r>
        <w:rPr>
          <w:rFonts w:hint="eastAsia" w:ascii="仿宋" w:hAnsi="仿宋" w:eastAsia="仿宋" w:cs="仿宋"/>
          <w:sz w:val="24"/>
          <w:szCs w:val="24"/>
        </w:rPr>
        <w:t>第三节</w:t>
      </w:r>
      <w:r>
        <w:rPr>
          <w:rFonts w:ascii="仿宋" w:hAnsi="仿宋" w:eastAsia="仿宋" w:cs="仿宋"/>
          <w:sz w:val="24"/>
          <w:szCs w:val="24"/>
        </w:rPr>
        <w:t xml:space="preserve"> </w:t>
      </w:r>
      <w:r>
        <w:rPr>
          <w:rFonts w:hint="eastAsia" w:ascii="仿宋" w:hAnsi="仿宋" w:eastAsia="仿宋" w:cs="仿宋"/>
          <w:sz w:val="24"/>
          <w:szCs w:val="24"/>
        </w:rPr>
        <w:t>形势与要求</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_Toc20443 \h </w:instrText>
      </w:r>
      <w:r>
        <w:rPr>
          <w:rFonts w:ascii="仿宋" w:hAnsi="仿宋" w:eastAsia="仿宋" w:cs="仿宋"/>
          <w:sz w:val="24"/>
          <w:szCs w:val="24"/>
        </w:rPr>
        <w:fldChar w:fldCharType="separate"/>
      </w:r>
      <w:r>
        <w:rPr>
          <w:rFonts w:ascii="仿宋" w:hAnsi="仿宋" w:eastAsia="仿宋" w:cs="仿宋"/>
          <w:sz w:val="24"/>
          <w:szCs w:val="24"/>
        </w:rPr>
        <w:t>5</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0"/>
        <w:tabs>
          <w:tab w:val="right" w:leader="dot" w:pos="9070"/>
        </w:tabs>
        <w:spacing w:line="400" w:lineRule="exact"/>
        <w:ind w:firstLine="400"/>
        <w:rPr>
          <w:rFonts w:ascii="仿宋" w:hAnsi="仿宋" w:eastAsia="仿宋" w:cs="Times New Roman"/>
          <w:i w:val="0"/>
          <w:iCs w:val="0"/>
          <w:sz w:val="24"/>
          <w:szCs w:val="24"/>
        </w:rPr>
      </w:pPr>
      <w:r>
        <w:fldChar w:fldCharType="begin"/>
      </w:r>
      <w:r>
        <w:instrText xml:space="preserve"> HYPERLINK \l "_Toc12876" </w:instrText>
      </w:r>
      <w:r>
        <w:fldChar w:fldCharType="separate"/>
      </w:r>
      <w:r>
        <w:rPr>
          <w:rFonts w:hint="eastAsia" w:ascii="仿宋" w:hAnsi="仿宋" w:eastAsia="仿宋" w:cs="仿宋"/>
          <w:i w:val="0"/>
          <w:iCs w:val="0"/>
          <w:sz w:val="24"/>
          <w:szCs w:val="24"/>
        </w:rPr>
        <w:t>第二章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指导原则与目标</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_Toc12876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7</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"_Toc23376"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指导思想</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_Toc23376 \h </w:instrText>
      </w:r>
      <w:r>
        <w:rPr>
          <w:rFonts w:ascii="仿宋" w:hAnsi="仿宋" w:eastAsia="仿宋" w:cs="仿宋"/>
          <w:sz w:val="24"/>
          <w:szCs w:val="24"/>
        </w:rPr>
        <w:fldChar w:fldCharType="separate"/>
      </w:r>
      <w:r>
        <w:rPr>
          <w:rFonts w:ascii="仿宋" w:hAnsi="仿宋" w:eastAsia="仿宋" w:cs="仿宋"/>
          <w:sz w:val="24"/>
          <w:szCs w:val="24"/>
        </w:rPr>
        <w:t>7</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"_Toc30315"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基本原则</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_Toc30315 \h </w:instrText>
      </w:r>
      <w:r>
        <w:rPr>
          <w:rFonts w:ascii="仿宋" w:hAnsi="仿宋" w:eastAsia="仿宋" w:cs="仿宋"/>
          <w:sz w:val="24"/>
          <w:szCs w:val="24"/>
        </w:rPr>
        <w:fldChar w:fldCharType="separate"/>
      </w:r>
      <w:r>
        <w:rPr>
          <w:rFonts w:ascii="仿宋" w:hAnsi="仿宋" w:eastAsia="仿宋" w:cs="仿宋"/>
          <w:sz w:val="24"/>
          <w:szCs w:val="24"/>
        </w:rPr>
        <w:t>7</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"_Toc3347" </w:instrText>
      </w:r>
      <w:r>
        <w:fldChar w:fldCharType="separate"/>
      </w:r>
      <w:r>
        <w:rPr>
          <w:rFonts w:hint="eastAsia" w:ascii="仿宋" w:hAnsi="仿宋" w:eastAsia="仿宋" w:cs="仿宋"/>
          <w:sz w:val="24"/>
          <w:szCs w:val="24"/>
        </w:rPr>
        <w:t>第三节</w:t>
      </w:r>
      <w:r>
        <w:rPr>
          <w:rFonts w:ascii="仿宋" w:hAnsi="仿宋" w:eastAsia="仿宋" w:cs="仿宋"/>
          <w:sz w:val="24"/>
          <w:szCs w:val="24"/>
        </w:rPr>
        <w:t xml:space="preserve"> </w:t>
      </w:r>
      <w:r>
        <w:rPr>
          <w:rFonts w:hint="eastAsia" w:ascii="仿宋" w:hAnsi="仿宋" w:eastAsia="仿宋" w:cs="仿宋"/>
          <w:sz w:val="24"/>
          <w:szCs w:val="24"/>
        </w:rPr>
        <w:t>规划目标</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_Toc3347 \h </w:instrText>
      </w:r>
      <w:r>
        <w:rPr>
          <w:rFonts w:ascii="仿宋" w:hAnsi="仿宋" w:eastAsia="仿宋" w:cs="仿宋"/>
          <w:sz w:val="24"/>
          <w:szCs w:val="24"/>
        </w:rPr>
        <w:fldChar w:fldCharType="separate"/>
      </w:r>
      <w:r>
        <w:rPr>
          <w:rFonts w:ascii="仿宋" w:hAnsi="仿宋" w:eastAsia="仿宋" w:cs="仿宋"/>
          <w:sz w:val="24"/>
          <w:szCs w:val="24"/>
        </w:rPr>
        <w:t>8</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0"/>
        <w:tabs>
          <w:tab w:val="right" w:leader="dot" w:pos="9070"/>
        </w:tabs>
        <w:spacing w:line="400" w:lineRule="exact"/>
        <w:ind w:firstLine="400"/>
        <w:rPr>
          <w:rFonts w:ascii="仿宋" w:hAnsi="仿宋" w:eastAsia="仿宋" w:cs="Times New Roman"/>
          <w:i w:val="0"/>
          <w:iCs w:val="0"/>
          <w:sz w:val="24"/>
          <w:szCs w:val="24"/>
        </w:rPr>
      </w:pPr>
      <w:r>
        <w:fldChar w:fldCharType="begin"/>
      </w:r>
      <w:r>
        <w:instrText xml:space="preserve"> HYPERLINK \l "_Toc20963" </w:instrText>
      </w:r>
      <w:r>
        <w:fldChar w:fldCharType="separate"/>
      </w:r>
      <w:r>
        <w:rPr>
          <w:rFonts w:hint="eastAsia" w:ascii="仿宋" w:hAnsi="仿宋" w:eastAsia="仿宋" w:cs="仿宋"/>
          <w:i w:val="0"/>
          <w:iCs w:val="0"/>
          <w:sz w:val="24"/>
          <w:szCs w:val="24"/>
        </w:rPr>
        <w:t>第三章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矿产勘查开发与保护布局</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_Toc20963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10</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"_Toc26383"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矿产资源勘查开发调控方向</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_Toc26383 \h </w:instrText>
      </w:r>
      <w:r>
        <w:rPr>
          <w:rFonts w:ascii="仿宋" w:hAnsi="仿宋" w:eastAsia="仿宋" w:cs="仿宋"/>
          <w:sz w:val="24"/>
          <w:szCs w:val="24"/>
        </w:rPr>
        <w:fldChar w:fldCharType="separate"/>
      </w:r>
      <w:r>
        <w:rPr>
          <w:rFonts w:ascii="仿宋" w:hAnsi="仿宋" w:eastAsia="仿宋" w:cs="仿宋"/>
          <w:sz w:val="24"/>
          <w:szCs w:val="24"/>
        </w:rPr>
        <w:t>10</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"_Toc17126"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矿产资源产业重点发展区域</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_Toc17126 \h </w:instrText>
      </w:r>
      <w:r>
        <w:rPr>
          <w:rFonts w:ascii="仿宋" w:hAnsi="仿宋" w:eastAsia="仿宋" w:cs="仿宋"/>
          <w:sz w:val="24"/>
          <w:szCs w:val="24"/>
        </w:rPr>
        <w:fldChar w:fldCharType="separate"/>
      </w:r>
      <w:r>
        <w:rPr>
          <w:rFonts w:ascii="仿宋" w:hAnsi="仿宋" w:eastAsia="仿宋" w:cs="仿宋"/>
          <w:sz w:val="24"/>
          <w:szCs w:val="24"/>
        </w:rPr>
        <w:t>10</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"_Toc19132" </w:instrText>
      </w:r>
      <w:r>
        <w:fldChar w:fldCharType="separate"/>
      </w:r>
      <w:r>
        <w:rPr>
          <w:rFonts w:hint="eastAsia" w:ascii="仿宋" w:hAnsi="仿宋" w:eastAsia="仿宋" w:cs="仿宋"/>
          <w:sz w:val="24"/>
          <w:szCs w:val="24"/>
        </w:rPr>
        <w:t>第三节</w:t>
      </w:r>
      <w:r>
        <w:rPr>
          <w:rFonts w:ascii="仿宋" w:hAnsi="仿宋" w:eastAsia="仿宋" w:cs="仿宋"/>
          <w:sz w:val="24"/>
          <w:szCs w:val="24"/>
        </w:rPr>
        <w:t xml:space="preserve"> </w:t>
      </w:r>
      <w:r>
        <w:rPr>
          <w:rFonts w:hint="eastAsia" w:ascii="仿宋" w:hAnsi="仿宋" w:eastAsia="仿宋" w:cs="仿宋"/>
          <w:sz w:val="24"/>
          <w:szCs w:val="24"/>
        </w:rPr>
        <w:t>勘查开采与保护布局</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_Toc19132 \h </w:instrText>
      </w:r>
      <w:r>
        <w:rPr>
          <w:rFonts w:ascii="仿宋" w:hAnsi="仿宋" w:eastAsia="仿宋" w:cs="仿宋"/>
          <w:sz w:val="24"/>
          <w:szCs w:val="24"/>
        </w:rPr>
        <w:fldChar w:fldCharType="separate"/>
      </w:r>
      <w:r>
        <w:rPr>
          <w:rFonts w:ascii="仿宋" w:hAnsi="仿宋" w:eastAsia="仿宋" w:cs="仿宋"/>
          <w:sz w:val="24"/>
          <w:szCs w:val="24"/>
        </w:rPr>
        <w:t>10</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"_Toc22748" </w:instrText>
      </w:r>
      <w:r>
        <w:fldChar w:fldCharType="separate"/>
      </w:r>
      <w:r>
        <w:rPr>
          <w:rFonts w:hint="eastAsia" w:ascii="仿宋" w:hAnsi="仿宋" w:eastAsia="仿宋" w:cs="仿宋"/>
          <w:sz w:val="24"/>
          <w:szCs w:val="24"/>
        </w:rPr>
        <w:t>第四节</w:t>
      </w:r>
      <w:r>
        <w:rPr>
          <w:rFonts w:ascii="仿宋" w:hAnsi="仿宋" w:eastAsia="仿宋" w:cs="仿宋"/>
          <w:sz w:val="24"/>
          <w:szCs w:val="24"/>
        </w:rPr>
        <w:t xml:space="preserve"> </w:t>
      </w:r>
      <w:r>
        <w:rPr>
          <w:rFonts w:hint="eastAsia" w:ascii="仿宋" w:hAnsi="仿宋" w:eastAsia="仿宋" w:cs="仿宋"/>
          <w:sz w:val="24"/>
          <w:szCs w:val="24"/>
        </w:rPr>
        <w:t>勘查规划区块</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_Toc22748 \h </w:instrText>
      </w:r>
      <w:r>
        <w:rPr>
          <w:rFonts w:ascii="仿宋" w:hAnsi="仿宋" w:eastAsia="仿宋" w:cs="仿宋"/>
          <w:sz w:val="24"/>
          <w:szCs w:val="24"/>
        </w:rPr>
        <w:fldChar w:fldCharType="separate"/>
      </w:r>
      <w:r>
        <w:rPr>
          <w:rFonts w:ascii="仿宋" w:hAnsi="仿宋" w:eastAsia="仿宋" w:cs="仿宋"/>
          <w:sz w:val="24"/>
          <w:szCs w:val="24"/>
        </w:rPr>
        <w:t>11</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"_Toc5766" </w:instrText>
      </w:r>
      <w:r>
        <w:fldChar w:fldCharType="separate"/>
      </w:r>
      <w:r>
        <w:rPr>
          <w:rFonts w:hint="eastAsia" w:ascii="仿宋" w:hAnsi="仿宋" w:eastAsia="仿宋" w:cs="仿宋"/>
          <w:sz w:val="24"/>
          <w:szCs w:val="24"/>
        </w:rPr>
        <w:t>第五节</w:t>
      </w:r>
      <w:r>
        <w:rPr>
          <w:rFonts w:ascii="仿宋" w:hAnsi="仿宋" w:eastAsia="仿宋" w:cs="仿宋"/>
          <w:sz w:val="24"/>
          <w:szCs w:val="24"/>
        </w:rPr>
        <w:t xml:space="preserve"> </w:t>
      </w:r>
      <w:r>
        <w:rPr>
          <w:rFonts w:hint="eastAsia" w:ascii="仿宋" w:hAnsi="仿宋" w:eastAsia="仿宋" w:cs="仿宋"/>
          <w:sz w:val="24"/>
          <w:szCs w:val="24"/>
        </w:rPr>
        <w:t>开采规划区块</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_Toc5766 \h </w:instrText>
      </w:r>
      <w:r>
        <w:rPr>
          <w:rFonts w:ascii="仿宋" w:hAnsi="仿宋" w:eastAsia="仿宋" w:cs="仿宋"/>
          <w:sz w:val="24"/>
          <w:szCs w:val="24"/>
        </w:rPr>
        <w:fldChar w:fldCharType="separate"/>
      </w:r>
      <w:r>
        <w:rPr>
          <w:rFonts w:ascii="仿宋" w:hAnsi="仿宋" w:eastAsia="仿宋" w:cs="仿宋"/>
          <w:sz w:val="24"/>
          <w:szCs w:val="24"/>
        </w:rPr>
        <w:t>12</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0"/>
        <w:tabs>
          <w:tab w:val="right" w:leader="dot" w:pos="9070"/>
        </w:tabs>
        <w:spacing w:line="400" w:lineRule="exact"/>
        <w:ind w:firstLine="400"/>
        <w:rPr>
          <w:rFonts w:ascii="仿宋" w:hAnsi="仿宋" w:eastAsia="仿宋" w:cs="Times New Roman"/>
          <w:i w:val="0"/>
          <w:iCs w:val="0"/>
          <w:sz w:val="24"/>
          <w:szCs w:val="24"/>
        </w:rPr>
      </w:pPr>
      <w:r>
        <w:fldChar w:fldCharType="begin"/>
      </w:r>
      <w:r>
        <w:instrText xml:space="preserve"> HYPERLINK \l "_Toc23190" </w:instrText>
      </w:r>
      <w:r>
        <w:fldChar w:fldCharType="separate"/>
      </w:r>
      <w:r>
        <w:rPr>
          <w:rFonts w:hint="eastAsia" w:ascii="仿宋" w:hAnsi="仿宋" w:eastAsia="仿宋" w:cs="仿宋"/>
          <w:i w:val="0"/>
          <w:iCs w:val="0"/>
          <w:sz w:val="24"/>
          <w:szCs w:val="24"/>
        </w:rPr>
        <w:t>第四章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加强矿产资源勘查开发利用与保护</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_Toc23190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13</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"_Toc14254"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合理确定开发强度</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_Toc14254 \h </w:instrText>
      </w:r>
      <w:r>
        <w:rPr>
          <w:rFonts w:ascii="仿宋" w:hAnsi="仿宋" w:eastAsia="仿宋" w:cs="仿宋"/>
          <w:sz w:val="24"/>
          <w:szCs w:val="24"/>
        </w:rPr>
        <w:fldChar w:fldCharType="separate"/>
      </w:r>
      <w:r>
        <w:rPr>
          <w:rFonts w:ascii="仿宋" w:hAnsi="仿宋" w:eastAsia="仿宋" w:cs="仿宋"/>
          <w:sz w:val="24"/>
          <w:szCs w:val="24"/>
        </w:rPr>
        <w:t>13</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"_Toc830"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优化开发利用结构</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_Toc830 \h </w:instrText>
      </w:r>
      <w:r>
        <w:rPr>
          <w:rFonts w:ascii="仿宋" w:hAnsi="仿宋" w:eastAsia="仿宋" w:cs="仿宋"/>
          <w:sz w:val="24"/>
          <w:szCs w:val="24"/>
        </w:rPr>
        <w:fldChar w:fldCharType="separate"/>
      </w:r>
      <w:r>
        <w:rPr>
          <w:rFonts w:ascii="仿宋" w:hAnsi="仿宋" w:eastAsia="仿宋" w:cs="仿宋"/>
          <w:sz w:val="24"/>
          <w:szCs w:val="24"/>
        </w:rPr>
        <w:t>13</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"_Toc7157" </w:instrText>
      </w:r>
      <w:r>
        <w:fldChar w:fldCharType="separate"/>
      </w:r>
      <w:r>
        <w:rPr>
          <w:rFonts w:hint="eastAsia" w:ascii="仿宋" w:hAnsi="仿宋" w:eastAsia="仿宋" w:cs="仿宋"/>
          <w:sz w:val="24"/>
          <w:szCs w:val="24"/>
        </w:rPr>
        <w:t>第三节</w:t>
      </w:r>
      <w:r>
        <w:rPr>
          <w:rFonts w:ascii="仿宋" w:hAnsi="仿宋" w:eastAsia="仿宋" w:cs="仿宋"/>
          <w:sz w:val="24"/>
          <w:szCs w:val="24"/>
        </w:rPr>
        <w:t xml:space="preserve"> </w:t>
      </w:r>
      <w:r>
        <w:rPr>
          <w:rFonts w:hint="eastAsia" w:ascii="仿宋" w:hAnsi="仿宋" w:eastAsia="仿宋" w:cs="仿宋"/>
          <w:sz w:val="24"/>
          <w:szCs w:val="24"/>
        </w:rPr>
        <w:t>严格规划准入管理</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_Toc7157 \h </w:instrText>
      </w:r>
      <w:r>
        <w:rPr>
          <w:rFonts w:ascii="仿宋" w:hAnsi="仿宋" w:eastAsia="仿宋" w:cs="仿宋"/>
          <w:sz w:val="24"/>
          <w:szCs w:val="24"/>
        </w:rPr>
        <w:fldChar w:fldCharType="separate"/>
      </w:r>
      <w:r>
        <w:rPr>
          <w:rFonts w:ascii="仿宋" w:hAnsi="仿宋" w:eastAsia="仿宋" w:cs="仿宋"/>
          <w:sz w:val="24"/>
          <w:szCs w:val="24"/>
        </w:rPr>
        <w:t>14</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0"/>
        <w:tabs>
          <w:tab w:val="right" w:leader="dot" w:pos="9070"/>
        </w:tabs>
        <w:spacing w:line="400" w:lineRule="exact"/>
        <w:ind w:firstLine="400"/>
        <w:rPr>
          <w:rFonts w:ascii="仿宋" w:hAnsi="仿宋" w:eastAsia="仿宋" w:cs="Times New Roman"/>
          <w:i w:val="0"/>
          <w:iCs w:val="0"/>
          <w:sz w:val="24"/>
          <w:szCs w:val="24"/>
        </w:rPr>
      </w:pPr>
      <w:r>
        <w:fldChar w:fldCharType="begin"/>
      </w:r>
      <w:r>
        <w:instrText xml:space="preserve"> HYPERLINK \l "_Toc13259" </w:instrText>
      </w:r>
      <w:r>
        <w:fldChar w:fldCharType="separate"/>
      </w:r>
      <w:r>
        <w:rPr>
          <w:rFonts w:hint="eastAsia" w:ascii="仿宋" w:hAnsi="仿宋" w:eastAsia="仿宋" w:cs="仿宋"/>
          <w:i w:val="0"/>
          <w:iCs w:val="0"/>
          <w:sz w:val="24"/>
          <w:szCs w:val="24"/>
        </w:rPr>
        <w:t>第五章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绿色矿山建设和矿区生态保护</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_Toc13259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15</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"_Toc2506"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推进绿色矿山建设</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_Toc2506 \h </w:instrText>
      </w:r>
      <w:r>
        <w:rPr>
          <w:rFonts w:ascii="仿宋" w:hAnsi="仿宋" w:eastAsia="仿宋" w:cs="仿宋"/>
          <w:sz w:val="24"/>
          <w:szCs w:val="24"/>
        </w:rPr>
        <w:fldChar w:fldCharType="separate"/>
      </w:r>
      <w:r>
        <w:rPr>
          <w:rFonts w:ascii="仿宋" w:hAnsi="仿宋" w:eastAsia="仿宋" w:cs="仿宋"/>
          <w:sz w:val="24"/>
          <w:szCs w:val="24"/>
        </w:rPr>
        <w:t>15</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"_Toc9464"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加强矿区生态保护修复</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_Toc9464 \h </w:instrText>
      </w:r>
      <w:r>
        <w:rPr>
          <w:rFonts w:ascii="仿宋" w:hAnsi="仿宋" w:eastAsia="仿宋" w:cs="仿宋"/>
          <w:sz w:val="24"/>
          <w:szCs w:val="24"/>
        </w:rPr>
        <w:fldChar w:fldCharType="separate"/>
      </w:r>
      <w:r>
        <w:rPr>
          <w:rFonts w:ascii="仿宋" w:hAnsi="仿宋" w:eastAsia="仿宋" w:cs="仿宋"/>
          <w:sz w:val="24"/>
          <w:szCs w:val="24"/>
        </w:rPr>
        <w:t>15</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0"/>
        <w:tabs>
          <w:tab w:val="right" w:leader="dot" w:pos="9070"/>
        </w:tabs>
        <w:spacing w:line="400" w:lineRule="exact"/>
        <w:ind w:firstLine="400"/>
        <w:rPr>
          <w:rFonts w:ascii="仿宋" w:hAnsi="仿宋" w:eastAsia="仿宋" w:cs="Times New Roman"/>
          <w:i w:val="0"/>
          <w:iCs w:val="0"/>
          <w:sz w:val="24"/>
          <w:szCs w:val="24"/>
        </w:rPr>
      </w:pPr>
      <w:r>
        <w:fldChar w:fldCharType="begin"/>
      </w:r>
      <w:r>
        <w:instrText xml:space="preserve"> HYPERLINK \l "_Toc23261" </w:instrText>
      </w:r>
      <w:r>
        <w:fldChar w:fldCharType="separate"/>
      </w:r>
      <w:r>
        <w:rPr>
          <w:rFonts w:hint="eastAsia" w:ascii="仿宋" w:hAnsi="仿宋" w:eastAsia="仿宋" w:cs="仿宋"/>
          <w:i w:val="0"/>
          <w:iCs w:val="0"/>
          <w:sz w:val="24"/>
          <w:szCs w:val="24"/>
        </w:rPr>
        <w:t>第六章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规划实施保障措施</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_Toc23261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17</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"_Toc17937"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完善规划实施目标制度</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_Toc17937 \h </w:instrText>
      </w:r>
      <w:r>
        <w:rPr>
          <w:rFonts w:ascii="仿宋" w:hAnsi="仿宋" w:eastAsia="仿宋" w:cs="仿宋"/>
          <w:sz w:val="24"/>
          <w:szCs w:val="24"/>
        </w:rPr>
        <w:fldChar w:fldCharType="separate"/>
      </w:r>
      <w:r>
        <w:rPr>
          <w:rFonts w:ascii="仿宋" w:hAnsi="仿宋" w:eastAsia="仿宋" w:cs="仿宋"/>
          <w:sz w:val="24"/>
          <w:szCs w:val="24"/>
        </w:rPr>
        <w:t>17</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"_Toc13371"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健全完善规划实施评估调整机制</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_Toc13371 \h </w:instrText>
      </w:r>
      <w:r>
        <w:rPr>
          <w:rFonts w:ascii="仿宋" w:hAnsi="仿宋" w:eastAsia="仿宋" w:cs="仿宋"/>
          <w:sz w:val="24"/>
          <w:szCs w:val="24"/>
        </w:rPr>
        <w:fldChar w:fldCharType="separate"/>
      </w:r>
      <w:r>
        <w:rPr>
          <w:rFonts w:ascii="仿宋" w:hAnsi="仿宋" w:eastAsia="仿宋" w:cs="仿宋"/>
          <w:sz w:val="24"/>
          <w:szCs w:val="24"/>
        </w:rPr>
        <w:t>17</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"_Toc5912" </w:instrText>
      </w:r>
      <w:r>
        <w:fldChar w:fldCharType="separate"/>
      </w:r>
      <w:r>
        <w:rPr>
          <w:rFonts w:hint="eastAsia" w:ascii="仿宋" w:hAnsi="仿宋" w:eastAsia="仿宋" w:cs="仿宋"/>
          <w:sz w:val="24"/>
          <w:szCs w:val="24"/>
        </w:rPr>
        <w:t>第三节</w:t>
      </w:r>
      <w:r>
        <w:rPr>
          <w:rFonts w:ascii="仿宋" w:hAnsi="仿宋" w:eastAsia="仿宋" w:cs="仿宋"/>
          <w:sz w:val="24"/>
          <w:szCs w:val="24"/>
        </w:rPr>
        <w:t xml:space="preserve"> </w:t>
      </w:r>
      <w:r>
        <w:rPr>
          <w:rFonts w:hint="eastAsia" w:ascii="仿宋" w:hAnsi="仿宋" w:eastAsia="仿宋" w:cs="仿宋"/>
          <w:sz w:val="24"/>
          <w:szCs w:val="24"/>
        </w:rPr>
        <w:t>加强规划实施情况监督检查</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_Toc5912 \h </w:instrText>
      </w:r>
      <w:r>
        <w:rPr>
          <w:rFonts w:ascii="仿宋" w:hAnsi="仿宋" w:eastAsia="仿宋" w:cs="仿宋"/>
          <w:sz w:val="24"/>
          <w:szCs w:val="24"/>
        </w:rPr>
        <w:fldChar w:fldCharType="separate"/>
      </w:r>
      <w:r>
        <w:rPr>
          <w:rFonts w:ascii="仿宋" w:hAnsi="仿宋" w:eastAsia="仿宋" w:cs="仿宋"/>
          <w:sz w:val="24"/>
          <w:szCs w:val="24"/>
        </w:rPr>
        <w:t>17</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"_Toc28773" </w:instrText>
      </w:r>
      <w:r>
        <w:fldChar w:fldCharType="separate"/>
      </w:r>
      <w:r>
        <w:rPr>
          <w:rFonts w:hint="eastAsia" w:ascii="仿宋" w:hAnsi="仿宋" w:eastAsia="仿宋" w:cs="仿宋"/>
          <w:sz w:val="24"/>
          <w:szCs w:val="24"/>
        </w:rPr>
        <w:t>第四节</w:t>
      </w:r>
      <w:r>
        <w:rPr>
          <w:rFonts w:ascii="仿宋" w:hAnsi="仿宋" w:eastAsia="仿宋" w:cs="仿宋"/>
          <w:sz w:val="24"/>
          <w:szCs w:val="24"/>
        </w:rPr>
        <w:t xml:space="preserve"> </w:t>
      </w:r>
      <w:r>
        <w:rPr>
          <w:rFonts w:hint="eastAsia" w:ascii="仿宋" w:hAnsi="仿宋" w:eastAsia="仿宋" w:cs="仿宋"/>
          <w:sz w:val="24"/>
          <w:szCs w:val="24"/>
        </w:rPr>
        <w:t>提高规划管理信息化水平</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_Toc28773 \h </w:instrText>
      </w:r>
      <w:r>
        <w:rPr>
          <w:rFonts w:ascii="仿宋" w:hAnsi="仿宋" w:eastAsia="仿宋" w:cs="仿宋"/>
          <w:sz w:val="24"/>
          <w:szCs w:val="24"/>
        </w:rPr>
        <w:fldChar w:fldCharType="separate"/>
      </w:r>
      <w:r>
        <w:rPr>
          <w:rFonts w:ascii="仿宋" w:hAnsi="仿宋" w:eastAsia="仿宋" w:cs="仿宋"/>
          <w:sz w:val="24"/>
          <w:szCs w:val="24"/>
        </w:rPr>
        <w:t>17</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0"/>
        <w:tabs>
          <w:tab w:val="right" w:leader="dot" w:pos="9070"/>
        </w:tabs>
        <w:spacing w:line="400" w:lineRule="exact"/>
        <w:ind w:firstLine="400"/>
        <w:rPr>
          <w:rFonts w:ascii="仿宋" w:hAnsi="仿宋" w:eastAsia="仿宋" w:cs="Times New Roman"/>
          <w:i w:val="0"/>
          <w:iCs w:val="0"/>
          <w:sz w:val="24"/>
          <w:szCs w:val="24"/>
        </w:rPr>
      </w:pPr>
      <w:r>
        <w:fldChar w:fldCharType="begin"/>
      </w:r>
      <w:r>
        <w:instrText xml:space="preserve"> HYPERLINK \l "_Toc262" </w:instrText>
      </w:r>
      <w:r>
        <w:fldChar w:fldCharType="separate"/>
      </w:r>
      <w:r>
        <w:rPr>
          <w:rFonts w:hint="eastAsia" w:ascii="仿宋" w:hAnsi="仿宋" w:eastAsia="仿宋" w:cs="仿宋"/>
          <w:i w:val="0"/>
          <w:iCs w:val="0"/>
          <w:sz w:val="24"/>
          <w:szCs w:val="24"/>
        </w:rPr>
        <w:t>第七章</w:t>
      </w:r>
      <w:r>
        <w:rPr>
          <w:rFonts w:ascii="仿宋" w:hAnsi="仿宋" w:eastAsia="仿宋" w:cs="仿宋"/>
          <w:i w:val="0"/>
          <w:iCs w:val="0"/>
          <w:sz w:val="24"/>
          <w:szCs w:val="24"/>
        </w:rPr>
        <w:t xml:space="preserve"> </w:t>
      </w:r>
      <w:r>
        <w:rPr>
          <w:rFonts w:hint="eastAsia" w:ascii="仿宋" w:hAnsi="仿宋" w:eastAsia="仿宋" w:cs="仿宋"/>
          <w:i w:val="0"/>
          <w:iCs w:val="0"/>
          <w:sz w:val="24"/>
          <w:szCs w:val="24"/>
        </w:rPr>
        <w:t>规划环境影响评价</w:t>
      </w:r>
      <w:r>
        <w:rPr>
          <w:rFonts w:ascii="仿宋" w:hAnsi="仿宋" w:eastAsia="仿宋" w:cs="Times New Roman"/>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_Toc262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18</w:t>
      </w:r>
      <w:r>
        <w:rPr>
          <w:rFonts w:ascii="仿宋" w:hAnsi="仿宋" w:eastAsia="仿宋" w:cs="仿宋"/>
          <w:i w:val="0"/>
          <w:iCs w:val="0"/>
          <w:sz w:val="24"/>
          <w:szCs w:val="24"/>
        </w:rPr>
        <w:fldChar w:fldCharType="end"/>
      </w:r>
      <w:r>
        <w:rPr>
          <w:rFonts w:ascii="仿宋" w:hAnsi="仿宋" w:eastAsia="仿宋" w:cs="仿宋"/>
          <w:i w:val="0"/>
          <w:iCs w:val="0"/>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"_Toc21244" </w:instrText>
      </w:r>
      <w:r>
        <w:fldChar w:fldCharType="separate"/>
      </w:r>
      <w:r>
        <w:rPr>
          <w:rFonts w:hint="eastAsia" w:ascii="仿宋" w:hAnsi="仿宋" w:eastAsia="仿宋" w:cs="仿宋"/>
          <w:sz w:val="24"/>
          <w:szCs w:val="24"/>
        </w:rPr>
        <w:t>第一节</w:t>
      </w:r>
      <w:r>
        <w:rPr>
          <w:rFonts w:ascii="仿宋" w:hAnsi="仿宋" w:eastAsia="仿宋" w:cs="仿宋"/>
          <w:sz w:val="24"/>
          <w:szCs w:val="24"/>
        </w:rPr>
        <w:t xml:space="preserve"> </w:t>
      </w:r>
      <w:r>
        <w:rPr>
          <w:rFonts w:hint="eastAsia" w:ascii="仿宋" w:hAnsi="仿宋" w:eastAsia="仿宋" w:cs="仿宋"/>
          <w:sz w:val="24"/>
          <w:szCs w:val="24"/>
        </w:rPr>
        <w:t>矿山环境现状评价</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_Toc21244 \h </w:instrText>
      </w:r>
      <w:r>
        <w:rPr>
          <w:rFonts w:ascii="仿宋" w:hAnsi="仿宋" w:eastAsia="仿宋" w:cs="仿宋"/>
          <w:sz w:val="24"/>
          <w:szCs w:val="24"/>
        </w:rPr>
        <w:fldChar w:fldCharType="separate"/>
      </w:r>
      <w:r>
        <w:rPr>
          <w:rFonts w:ascii="仿宋" w:hAnsi="仿宋" w:eastAsia="仿宋" w:cs="仿宋"/>
          <w:sz w:val="24"/>
          <w:szCs w:val="24"/>
        </w:rPr>
        <w:t>18</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"_Toc1341" </w:instrText>
      </w:r>
      <w:r>
        <w:fldChar w:fldCharType="separate"/>
      </w:r>
      <w:r>
        <w:rPr>
          <w:rFonts w:hint="eastAsia" w:ascii="仿宋" w:hAnsi="仿宋" w:eastAsia="仿宋" w:cs="仿宋"/>
          <w:sz w:val="24"/>
          <w:szCs w:val="24"/>
        </w:rPr>
        <w:t>第二节</w:t>
      </w:r>
      <w:r>
        <w:rPr>
          <w:rFonts w:ascii="仿宋" w:hAnsi="仿宋" w:eastAsia="仿宋" w:cs="仿宋"/>
          <w:sz w:val="24"/>
          <w:szCs w:val="24"/>
        </w:rPr>
        <w:t xml:space="preserve"> </w:t>
      </w:r>
      <w:r>
        <w:rPr>
          <w:rFonts w:hint="eastAsia" w:ascii="仿宋" w:hAnsi="仿宋" w:eastAsia="仿宋" w:cs="仿宋"/>
          <w:sz w:val="24"/>
          <w:szCs w:val="24"/>
        </w:rPr>
        <w:t>规划影响环境预测评价</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_Toc1341 \h </w:instrText>
      </w:r>
      <w:r>
        <w:rPr>
          <w:rFonts w:ascii="仿宋" w:hAnsi="仿宋" w:eastAsia="仿宋" w:cs="仿宋"/>
          <w:sz w:val="24"/>
          <w:szCs w:val="24"/>
        </w:rPr>
        <w:fldChar w:fldCharType="separate"/>
      </w:r>
      <w:r>
        <w:rPr>
          <w:rFonts w:ascii="仿宋" w:hAnsi="仿宋" w:eastAsia="仿宋" w:cs="仿宋"/>
          <w:sz w:val="24"/>
          <w:szCs w:val="24"/>
        </w:rPr>
        <w:t>19</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ascii="仿宋" w:hAnsi="仿宋" w:eastAsia="仿宋" w:cs="Times New Roman"/>
          <w:sz w:val="24"/>
          <w:szCs w:val="24"/>
        </w:rPr>
      </w:pPr>
      <w:r>
        <w:fldChar w:fldCharType="begin"/>
      </w:r>
      <w:r>
        <w:instrText xml:space="preserve"> HYPERLINK \l "_Toc6908" </w:instrText>
      </w:r>
      <w:r>
        <w:fldChar w:fldCharType="separate"/>
      </w:r>
      <w:r>
        <w:rPr>
          <w:rFonts w:hint="eastAsia" w:ascii="仿宋" w:hAnsi="仿宋" w:eastAsia="仿宋" w:cs="仿宋"/>
          <w:sz w:val="24"/>
          <w:szCs w:val="24"/>
        </w:rPr>
        <w:t>第三节</w:t>
      </w:r>
      <w:r>
        <w:rPr>
          <w:rFonts w:ascii="仿宋" w:hAnsi="仿宋" w:eastAsia="仿宋" w:cs="仿宋"/>
          <w:sz w:val="24"/>
          <w:szCs w:val="24"/>
        </w:rPr>
        <w:t xml:space="preserve"> </w:t>
      </w:r>
      <w:r>
        <w:rPr>
          <w:rFonts w:hint="eastAsia" w:ascii="仿宋" w:hAnsi="仿宋" w:eastAsia="仿宋" w:cs="仿宋"/>
          <w:sz w:val="24"/>
          <w:szCs w:val="24"/>
        </w:rPr>
        <w:t>减轻矿山环境影响的措施</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_Toc6908 \h </w:instrText>
      </w:r>
      <w:r>
        <w:rPr>
          <w:rFonts w:ascii="仿宋" w:hAnsi="仿宋" w:eastAsia="仿宋" w:cs="仿宋"/>
          <w:sz w:val="24"/>
          <w:szCs w:val="24"/>
        </w:rPr>
        <w:fldChar w:fldCharType="separate"/>
      </w:r>
      <w:r>
        <w:rPr>
          <w:rFonts w:ascii="仿宋" w:hAnsi="仿宋" w:eastAsia="仿宋" w:cs="仿宋"/>
          <w:sz w:val="24"/>
          <w:szCs w:val="24"/>
        </w:rPr>
        <w:t>21</w:t>
      </w:r>
      <w:r>
        <w:rPr>
          <w:rFonts w:ascii="仿宋" w:hAnsi="仿宋" w:eastAsia="仿宋" w:cs="仿宋"/>
          <w:sz w:val="24"/>
          <w:szCs w:val="24"/>
        </w:rPr>
        <w:fldChar w:fldCharType="end"/>
      </w:r>
      <w:r>
        <w:rPr>
          <w:rFonts w:ascii="仿宋" w:hAnsi="仿宋" w:eastAsia="仿宋" w:cs="仿宋"/>
          <w:sz w:val="24"/>
          <w:szCs w:val="24"/>
        </w:rPr>
        <w:fldChar w:fldCharType="end"/>
      </w:r>
    </w:p>
    <w:p>
      <w:pPr>
        <w:pStyle w:val="16"/>
        <w:tabs>
          <w:tab w:val="right" w:leader="dot" w:pos="9070"/>
        </w:tabs>
        <w:spacing w:line="400" w:lineRule="exact"/>
        <w:ind w:firstLine="360"/>
        <w:rPr>
          <w:rFonts w:cs="Times New Roman"/>
        </w:rPr>
      </w:pPr>
      <w:r>
        <w:fldChar w:fldCharType="begin"/>
      </w:r>
      <w:r>
        <w:instrText xml:space="preserve"> HYPERLINK \l "_Toc9576" </w:instrText>
      </w:r>
      <w:r>
        <w:fldChar w:fldCharType="separate"/>
      </w:r>
      <w:r>
        <w:rPr>
          <w:rFonts w:hint="eastAsia" w:ascii="仿宋" w:hAnsi="仿宋" w:eastAsia="仿宋" w:cs="仿宋"/>
          <w:sz w:val="24"/>
          <w:szCs w:val="24"/>
        </w:rPr>
        <w:t>第四节</w:t>
      </w:r>
      <w:r>
        <w:rPr>
          <w:rFonts w:ascii="仿宋" w:hAnsi="仿宋" w:eastAsia="仿宋" w:cs="仿宋"/>
          <w:sz w:val="24"/>
          <w:szCs w:val="24"/>
        </w:rPr>
        <w:t xml:space="preserve"> </w:t>
      </w:r>
      <w:r>
        <w:rPr>
          <w:rFonts w:hint="eastAsia" w:ascii="仿宋" w:hAnsi="仿宋" w:eastAsia="仿宋" w:cs="仿宋"/>
          <w:sz w:val="24"/>
          <w:szCs w:val="24"/>
        </w:rPr>
        <w:t>结论</w:t>
      </w:r>
      <w:r>
        <w:rPr>
          <w:rFonts w:ascii="仿宋" w:hAnsi="仿宋" w:eastAsia="仿宋" w:cs="Times New Roman"/>
          <w:sz w:val="24"/>
          <w:szCs w:val="24"/>
        </w:rPr>
        <w:tab/>
      </w:r>
      <w:r>
        <w:rPr>
          <w:rFonts w:ascii="仿宋" w:hAnsi="仿宋" w:eastAsia="仿宋" w:cs="仿宋"/>
          <w:sz w:val="24"/>
          <w:szCs w:val="24"/>
        </w:rPr>
        <w:fldChar w:fldCharType="begin"/>
      </w:r>
      <w:r>
        <w:rPr>
          <w:rFonts w:ascii="仿宋" w:hAnsi="仿宋" w:eastAsia="仿宋" w:cs="仿宋"/>
          <w:sz w:val="24"/>
          <w:szCs w:val="24"/>
        </w:rPr>
        <w:instrText xml:space="preserve"> PAGEREF _Toc9576 \h </w:instrText>
      </w:r>
      <w:r>
        <w:rPr>
          <w:rFonts w:ascii="仿宋" w:hAnsi="仿宋" w:eastAsia="仿宋" w:cs="仿宋"/>
          <w:sz w:val="24"/>
          <w:szCs w:val="24"/>
        </w:rPr>
        <w:fldChar w:fldCharType="separate"/>
      </w:r>
      <w:r>
        <w:rPr>
          <w:rFonts w:ascii="仿宋" w:hAnsi="仿宋" w:eastAsia="仿宋" w:cs="仿宋"/>
          <w:sz w:val="24"/>
          <w:szCs w:val="24"/>
        </w:rPr>
        <w:t>22</w:t>
      </w:r>
      <w:r>
        <w:rPr>
          <w:rFonts w:ascii="仿宋" w:hAnsi="仿宋" w:eastAsia="仿宋" w:cs="仿宋"/>
          <w:sz w:val="24"/>
          <w:szCs w:val="24"/>
        </w:rPr>
        <w:fldChar w:fldCharType="end"/>
      </w:r>
      <w:r>
        <w:rPr>
          <w:rFonts w:ascii="仿宋" w:hAnsi="仿宋" w:eastAsia="仿宋" w:cs="仿宋"/>
          <w:sz w:val="24"/>
          <w:szCs w:val="24"/>
        </w:rPr>
        <w:fldChar w:fldCharType="end"/>
      </w:r>
    </w:p>
    <w:p>
      <w:pPr>
        <w:ind w:firstLine="360"/>
        <w:rPr>
          <w:rFonts w:ascii="??_GB2312" w:hAnsi="??_GB2312" w:cs="??_GB2312"/>
        </w:rPr>
      </w:pPr>
      <w:r>
        <w:rPr>
          <w:rFonts w:ascii="??_GB2312" w:hAnsi="??_GB2312" w:cs="??_GB2312"/>
          <w:kern w:val="0"/>
          <w:sz w:val="18"/>
          <w:szCs w:val="18"/>
        </w:rPr>
        <w:fldChar w:fldCharType="end"/>
      </w:r>
    </w:p>
    <w:p>
      <w:pPr>
        <w:ind w:firstLine="0" w:firstLineChars="0"/>
        <w:jc w:val="center"/>
        <w:rPr>
          <w:rFonts w:hint="eastAsia" w:ascii="宋体" w:hAnsi="宋体" w:cs="宋体"/>
          <w:b/>
          <w:bCs/>
          <w:kern w:val="0"/>
          <w:sz w:val="32"/>
          <w:szCs w:val="32"/>
        </w:rPr>
      </w:pPr>
    </w:p>
    <w:p>
      <w:pPr>
        <w:ind w:firstLine="0" w:firstLineChars="0"/>
        <w:jc w:val="center"/>
        <w:rPr>
          <w:rFonts w:ascii="??_GB2312" w:hAnsi="??_GB2312" w:cs="??_GB2312"/>
          <w:b/>
          <w:bCs/>
          <w:kern w:val="0"/>
          <w:sz w:val="32"/>
          <w:szCs w:val="32"/>
        </w:rPr>
      </w:pPr>
      <w:r>
        <w:rPr>
          <w:rFonts w:hint="eastAsia" w:ascii="宋体" w:hAnsi="宋体" w:cs="宋体"/>
          <w:b/>
          <w:bCs/>
          <w:kern w:val="0"/>
          <w:sz w:val="32"/>
          <w:szCs w:val="32"/>
        </w:rPr>
        <w:t>总</w:t>
      </w:r>
      <w:r>
        <w:rPr>
          <w:rFonts w:ascii="??_GB2312" w:hAnsi="??_GB2312" w:cs="??_GB2312"/>
          <w:b/>
          <w:bCs/>
          <w:kern w:val="0"/>
          <w:sz w:val="32"/>
          <w:szCs w:val="32"/>
        </w:rPr>
        <w:t xml:space="preserve">  </w:t>
      </w:r>
      <w:r>
        <w:rPr>
          <w:rFonts w:hint="eastAsia" w:ascii="宋体" w:hAnsi="宋体" w:cs="宋体"/>
          <w:b/>
          <w:bCs/>
          <w:kern w:val="0"/>
          <w:sz w:val="32"/>
          <w:szCs w:val="32"/>
        </w:rPr>
        <w:t>则</w:t>
      </w:r>
    </w:p>
    <w:p>
      <w:pPr>
        <w:tabs>
          <w:tab w:val="left" w:pos="426"/>
        </w:tabs>
        <w:ind w:firstLine="560"/>
        <w:rPr>
          <w:rFonts w:ascii="??_GB2312" w:hAnsi="??_GB2312" w:cs="??_GB2312"/>
        </w:rPr>
      </w:pPr>
    </w:p>
    <w:p>
      <w:pPr>
        <w:tabs>
          <w:tab w:val="left" w:pos="426"/>
        </w:tabs>
        <w:ind w:firstLine="560"/>
        <w:rPr>
          <w:rFonts w:ascii="??_GB2312" w:hAnsi="??_GB2312" w:cs="??_GB2312"/>
        </w:rPr>
      </w:pPr>
      <w:r>
        <w:rPr>
          <w:rFonts w:hint="eastAsia" w:ascii="宋体" w:hAnsi="宋体" w:cs="宋体"/>
        </w:rPr>
        <w:t>为统筹安排矿产资源勘查开发与保护，推进矿产资源勘查开发与生态环境保护相协调，加快矿业转型升级与绿色发展，依据《中华人民共和国矿产资源法》、《矿产资源规划编制实施办法》、《吉林省矿产资源总体规划（</w:t>
      </w:r>
      <w:r>
        <w:rPr>
          <w:rFonts w:ascii="??_GB2312" w:hAnsi="??_GB2312" w:cs="??_GB2312"/>
        </w:rPr>
        <w:t>2021-2025</w:t>
      </w:r>
      <w:r>
        <w:rPr>
          <w:rFonts w:hint="eastAsia" w:ascii="宋体" w:hAnsi="宋体" w:cs="宋体"/>
        </w:rPr>
        <w:t>年）》、《四平市国民经济和社会发展第十四个五年规划和</w:t>
      </w:r>
      <w:r>
        <w:rPr>
          <w:rFonts w:ascii="??_GB2312" w:hAnsi="??_GB2312" w:cs="??_GB2312"/>
        </w:rPr>
        <w:t>2035</w:t>
      </w:r>
      <w:r>
        <w:rPr>
          <w:rFonts w:hint="eastAsia" w:ascii="宋体" w:hAnsi="宋体" w:cs="宋体"/>
        </w:rPr>
        <w:t>年远景目标纲要》、《四平市国土空间总体规划（</w:t>
      </w:r>
      <w:r>
        <w:rPr>
          <w:rFonts w:ascii="??_GB2312" w:hAnsi="??_GB2312" w:cs="??_GB2312"/>
        </w:rPr>
        <w:t>2021-2035</w:t>
      </w:r>
      <w:r>
        <w:rPr>
          <w:rFonts w:hint="eastAsia" w:ascii="宋体" w:hAnsi="宋体" w:cs="宋体"/>
        </w:rPr>
        <w:t>年）》等法律法规、指导性文件及相关技术标准，在总结第三轮矿产资源总体规划的基础上，分析四平市矿产资源勘查与开发利用现状以及存在的问题，编制《四平市矿产资源总体规划（</w:t>
      </w:r>
      <w:r>
        <w:rPr>
          <w:rFonts w:ascii="??_GB2312" w:hAnsi="??_GB2312" w:cs="??_GB2312"/>
        </w:rPr>
        <w:t>2021-2025</w:t>
      </w:r>
      <w:r>
        <w:rPr>
          <w:rFonts w:hint="eastAsia" w:ascii="宋体" w:hAnsi="宋体" w:cs="宋体"/>
        </w:rPr>
        <w:t>年）》，以下简称《规划》。</w:t>
      </w:r>
    </w:p>
    <w:p>
      <w:pPr>
        <w:tabs>
          <w:tab w:val="left" w:pos="426"/>
        </w:tabs>
        <w:ind w:firstLine="560"/>
        <w:rPr>
          <w:rFonts w:ascii="??_GB2312" w:hAnsi="??_GB2312" w:cs="??_GB2312"/>
        </w:rPr>
      </w:pPr>
      <w:r>
        <w:rPr>
          <w:rFonts w:hint="eastAsia" w:ascii="宋体" w:hAnsi="宋体" w:cs="宋体"/>
        </w:rPr>
        <w:t>《规划》是四平市落实吉林省区域发展战略，加强和改善矿产资源宏观管理的重要手段，是依法审批和监督管理地质勘查、矿产资源开发利用和保护活动的重要依据。涉及矿产资源开发活动的相关行业规划，应当与《规划》做好衔接。</w:t>
      </w:r>
    </w:p>
    <w:p>
      <w:pPr>
        <w:tabs>
          <w:tab w:val="left" w:pos="426"/>
        </w:tabs>
        <w:ind w:firstLine="560"/>
        <w:rPr>
          <w:rFonts w:ascii="??_GB2312" w:hAnsi="??_GB2312" w:cs="??_GB2312"/>
        </w:rPr>
      </w:pPr>
      <w:r>
        <w:rPr>
          <w:rFonts w:hint="eastAsia" w:ascii="宋体" w:hAnsi="宋体" w:cs="宋体"/>
        </w:rPr>
        <w:t>《规划》适用范围为四平市所辖行政区域。</w:t>
      </w:r>
    </w:p>
    <w:p>
      <w:pPr>
        <w:ind w:firstLine="560"/>
        <w:rPr>
          <w:rFonts w:ascii="??_GB2312" w:hAnsi="??_GB2312" w:cs="??_GB2312"/>
        </w:rPr>
      </w:pPr>
      <w:r>
        <w:rPr>
          <w:rFonts w:hint="eastAsia" w:ascii="宋体" w:hAnsi="宋体" w:cs="宋体"/>
        </w:rPr>
        <w:t>《规划》以</w:t>
      </w:r>
      <w:r>
        <w:rPr>
          <w:rFonts w:ascii="??_GB2312" w:hAnsi="??_GB2312" w:cs="??_GB2312"/>
        </w:rPr>
        <w:t>2020</w:t>
      </w:r>
      <w:r>
        <w:rPr>
          <w:rFonts w:hint="eastAsia" w:ascii="宋体" w:hAnsi="宋体" w:cs="宋体"/>
        </w:rPr>
        <w:t>年为基期，规划期为</w:t>
      </w:r>
      <w:r>
        <w:rPr>
          <w:rFonts w:ascii="??_GB2312" w:hAnsi="??_GB2312" w:cs="??_GB2312"/>
        </w:rPr>
        <w:t>2021</w:t>
      </w:r>
      <w:r>
        <w:rPr>
          <w:rFonts w:hint="eastAsia" w:ascii="宋体" w:hAnsi="宋体" w:cs="宋体"/>
        </w:rPr>
        <w:t>年</w:t>
      </w:r>
      <w:r>
        <w:rPr>
          <w:rFonts w:ascii="??_GB2312" w:hAnsi="??_GB2312" w:cs="??_GB2312"/>
        </w:rPr>
        <w:t>-2025</w:t>
      </w:r>
      <w:r>
        <w:rPr>
          <w:rFonts w:hint="eastAsia" w:ascii="宋体" w:hAnsi="宋体" w:cs="宋体"/>
        </w:rPr>
        <w:t>年，展望到</w:t>
      </w:r>
      <w:r>
        <w:rPr>
          <w:rFonts w:ascii="??_GB2312" w:hAnsi="??_GB2312" w:cs="??_GB2312"/>
        </w:rPr>
        <w:t>2035</w:t>
      </w:r>
      <w:r>
        <w:rPr>
          <w:rFonts w:hint="eastAsia" w:ascii="宋体" w:hAnsi="宋体" w:cs="宋体"/>
        </w:rPr>
        <w:t>年。</w:t>
      </w:r>
    </w:p>
    <w:p>
      <w:pPr>
        <w:ind w:firstLine="560"/>
        <w:rPr>
          <w:rFonts w:ascii="??_GB2312" w:hAnsi="??_GB2312" w:cs="??_GB2312"/>
        </w:rPr>
      </w:pPr>
    </w:p>
    <w:p>
      <w:pPr>
        <w:ind w:firstLine="560"/>
        <w:rPr>
          <w:rFonts w:ascii="??_GB2312" w:hAnsi="??_GB2312" w:cs="??_GB2312"/>
        </w:rPr>
      </w:pPr>
    </w:p>
    <w:p>
      <w:pPr>
        <w:ind w:firstLine="560"/>
        <w:rPr>
          <w:rFonts w:ascii="??_GB2312" w:hAnsi="??_GB2312" w:cs="??_GB2312"/>
        </w:rPr>
      </w:pPr>
    </w:p>
    <w:p>
      <w:pPr>
        <w:widowControl/>
        <w:spacing w:line="240" w:lineRule="auto"/>
        <w:ind w:firstLine="0" w:firstLineChars="0"/>
        <w:rPr>
          <w:rFonts w:ascii="??_GB2312" w:hAnsi="??_GB2312" w:cs="??_GB2312"/>
        </w:rPr>
      </w:pPr>
    </w:p>
    <w:p>
      <w:pPr>
        <w:ind w:firstLine="560"/>
        <w:rPr>
          <w:rFonts w:ascii="??_GB2312" w:hAnsi="??_GB2312" w:cs="??_GB2312"/>
        </w:rPr>
        <w:sectPr>
          <w:headerReference r:id="rId10" w:type="first"/>
          <w:footerReference r:id="rId12" w:type="first"/>
          <w:headerReference r:id="rId9" w:type="default"/>
          <w:footerReference r:id="rId11" w:type="default"/>
          <w:type w:val="continuous"/>
          <w:pgSz w:w="11906" w:h="16838"/>
          <w:pgMar w:top="1134" w:right="1418" w:bottom="1135" w:left="1418" w:header="851" w:footer="567" w:gutter="0"/>
          <w:cols w:space="425" w:num="1"/>
          <w:titlePg/>
          <w:docGrid w:type="lines" w:linePitch="312" w:charSpace="0"/>
        </w:sectPr>
      </w:pPr>
    </w:p>
    <w:p>
      <w:pPr>
        <w:ind w:firstLine="560"/>
        <w:rPr>
          <w:rFonts w:ascii="??_GB2312" w:hAnsi="??_GB2312" w:cs="??_GB2312"/>
        </w:rPr>
      </w:pPr>
    </w:p>
    <w:p>
      <w:pPr>
        <w:pStyle w:val="4"/>
        <w:ind w:firstLine="723"/>
        <w:rPr>
          <w:rFonts w:ascii="??_GB2312" w:hAnsi="??_GB2312" w:cs="??_GB2312"/>
          <w:sz w:val="36"/>
          <w:szCs w:val="36"/>
        </w:rPr>
        <w:sectPr>
          <w:headerReference r:id="rId14" w:type="first"/>
          <w:footerReference r:id="rId16" w:type="first"/>
          <w:headerReference r:id="rId13" w:type="default"/>
          <w:footerReference r:id="rId15" w:type="default"/>
          <w:type w:val="continuous"/>
          <w:pgSz w:w="11906" w:h="16838"/>
          <w:pgMar w:top="1418" w:right="1418" w:bottom="1418" w:left="1418" w:header="851" w:footer="567" w:gutter="0"/>
          <w:cols w:space="425" w:num="1"/>
          <w:titlePg/>
          <w:docGrid w:type="lines" w:linePitch="381" w:charSpace="0"/>
        </w:sectPr>
      </w:pPr>
      <w:bookmarkStart w:id="0" w:name="_Toc109168653"/>
      <w:bookmarkStart w:id="1" w:name="_Toc109168935"/>
      <w:bookmarkStart w:id="2" w:name="_Toc29961"/>
    </w:p>
    <w:p>
      <w:pPr>
        <w:pStyle w:val="4"/>
        <w:ind w:firstLine="723"/>
        <w:rPr>
          <w:rFonts w:ascii="??_GB2312" w:hAnsi="??_GB2312" w:cs="??_GB2312"/>
          <w:sz w:val="36"/>
          <w:szCs w:val="36"/>
        </w:rPr>
      </w:pPr>
      <w:r>
        <w:rPr>
          <w:rFonts w:hint="eastAsia" w:ascii="宋体" w:hAnsi="宋体" w:eastAsia="宋体" w:cs="宋体"/>
          <w:sz w:val="36"/>
          <w:szCs w:val="36"/>
        </w:rPr>
        <w:t>第一章</w:t>
      </w:r>
      <w:r>
        <w:rPr>
          <w:rFonts w:ascii="??_GB2312" w:hAnsi="??_GB2312" w:cs="??_GB2312"/>
          <w:sz w:val="36"/>
          <w:szCs w:val="36"/>
        </w:rPr>
        <w:t xml:space="preserve"> </w:t>
      </w:r>
      <w:r>
        <w:rPr>
          <w:rFonts w:hint="eastAsia" w:ascii="宋体" w:hAnsi="宋体" w:eastAsia="宋体" w:cs="宋体"/>
          <w:sz w:val="36"/>
          <w:szCs w:val="36"/>
        </w:rPr>
        <w:t>现状与形势</w:t>
      </w:r>
      <w:bookmarkEnd w:id="0"/>
      <w:bookmarkEnd w:id="1"/>
      <w:bookmarkEnd w:id="2"/>
      <w:r>
        <w:rPr>
          <w:rFonts w:ascii="??_GB2312" w:hAnsi="??_GB2312" w:cs="??_GB2312"/>
          <w:sz w:val="36"/>
          <w:szCs w:val="36"/>
        </w:rPr>
        <w:tab/>
      </w:r>
    </w:p>
    <w:p>
      <w:pPr>
        <w:pStyle w:val="5"/>
        <w:ind w:firstLine="0" w:firstLineChars="0"/>
        <w:rPr>
          <w:rFonts w:ascii="??_GB2312" w:hAnsi="??_GB2312" w:cs="??_GB2312"/>
        </w:rPr>
      </w:pPr>
      <w:bookmarkStart w:id="3" w:name="_Toc109168654"/>
      <w:bookmarkStart w:id="4" w:name="_Toc109168936"/>
      <w:bookmarkStart w:id="5" w:name="_Toc17702"/>
      <w:r>
        <w:rPr>
          <w:rFonts w:hint="eastAsia" w:ascii="宋体" w:hAnsi="宋体" w:eastAsia="宋体" w:cs="宋体"/>
        </w:rPr>
        <w:t>第一节</w:t>
      </w:r>
      <w:r>
        <w:rPr>
          <w:rFonts w:ascii="??_GB2312" w:hAnsi="??_GB2312" w:cs="??_GB2312"/>
        </w:rPr>
        <w:t xml:space="preserve"> </w:t>
      </w:r>
      <w:r>
        <w:rPr>
          <w:rFonts w:hint="eastAsia" w:ascii="宋体" w:hAnsi="宋体" w:eastAsia="宋体" w:cs="宋体"/>
        </w:rPr>
        <w:t>自然地理与经济社会发展概况</w:t>
      </w:r>
      <w:bookmarkEnd w:id="3"/>
      <w:bookmarkEnd w:id="4"/>
      <w:bookmarkEnd w:id="5"/>
    </w:p>
    <w:p>
      <w:pPr>
        <w:spacing w:line="500" w:lineRule="exact"/>
        <w:ind w:firstLine="560"/>
        <w:rPr>
          <w:rFonts w:ascii="??_GB2312" w:hAnsi="??_GB2312" w:cs="??_GB2312"/>
        </w:rPr>
      </w:pPr>
      <w:r>
        <w:rPr>
          <w:rFonts w:hint="eastAsia" w:ascii="宋体" w:hAnsi="宋体" w:cs="宋体"/>
        </w:rPr>
        <w:t>四平市位于吉林省西南部，地处松辽平原与长白山余脉低山丘陵之间，东部和南部多为大黑山和吉林哈达岭之间的低山丘陵地带；中部和北部多为波状起伏的平原；西部大部分为沙丘高地，地势由东向西缓降，地理坐标为：东经</w:t>
      </w:r>
      <w:r>
        <w:rPr>
          <w:rFonts w:ascii="??_GB2312" w:hAnsi="??_GB2312" w:cs="??_GB2312"/>
        </w:rPr>
        <w:t>123°22′-125°54′</w:t>
      </w:r>
      <w:r>
        <w:rPr>
          <w:rFonts w:hint="eastAsia" w:ascii="宋体" w:hAnsi="宋体" w:cs="宋体"/>
        </w:rPr>
        <w:t>，北纬</w:t>
      </w:r>
      <w:r>
        <w:rPr>
          <w:rFonts w:ascii="??_GB2312" w:hAnsi="??_GB2312" w:cs="??_GB2312"/>
        </w:rPr>
        <w:t>42°31′-44°09′</w:t>
      </w:r>
      <w:r>
        <w:rPr>
          <w:rFonts w:hint="eastAsia" w:ascii="宋体" w:hAnsi="宋体" w:cs="宋体"/>
        </w:rPr>
        <w:t>（</w:t>
      </w:r>
      <w:r>
        <w:rPr>
          <w:rFonts w:ascii="??_GB2312" w:hAnsi="??_GB2312" w:cs="??_GB2312"/>
        </w:rPr>
        <w:t>2000</w:t>
      </w:r>
      <w:r>
        <w:rPr>
          <w:rFonts w:hint="eastAsia" w:ascii="宋体" w:hAnsi="宋体" w:cs="宋体"/>
        </w:rPr>
        <w:t>国家大地坐标系）。东邻辽源市，西接内蒙古自治区，南邻辽宁省，北靠省会长春市和松原市。区内有哈大、四梅、平齐三条铁路在此交汇，京哈高速、集双高速贯通全市，是东北重要交通枢纽和物流节点城市。现辖梨树县、双辽市、伊通满族自治县和铁东区、铁西区。幅员面积</w:t>
      </w:r>
      <w:r>
        <w:rPr>
          <w:rFonts w:ascii="??_GB2312" w:hAnsi="??_GB2312" w:cs="??_GB2312"/>
        </w:rPr>
        <w:t>1.03</w:t>
      </w:r>
      <w:r>
        <w:rPr>
          <w:rFonts w:hint="eastAsia" w:ascii="宋体" w:hAnsi="宋体" w:cs="宋体"/>
        </w:rPr>
        <w:t>万平方千米，人口为</w:t>
      </w:r>
      <w:r>
        <w:rPr>
          <w:rFonts w:ascii="??_GB2312" w:hAnsi="??_GB2312" w:cs="??_GB2312"/>
        </w:rPr>
        <w:t>181.4</w:t>
      </w:r>
      <w:r>
        <w:rPr>
          <w:rFonts w:hint="eastAsia" w:ascii="宋体" w:hAnsi="宋体" w:cs="宋体"/>
        </w:rPr>
        <w:t>万。</w:t>
      </w:r>
    </w:p>
    <w:p>
      <w:pPr>
        <w:spacing w:line="500" w:lineRule="exact"/>
        <w:ind w:firstLine="560"/>
        <w:rPr>
          <w:rFonts w:ascii="??_GB2312" w:hAnsi="??_GB2312" w:cs="??_GB2312"/>
        </w:rPr>
      </w:pPr>
      <w:r>
        <w:rPr>
          <w:rFonts w:ascii="??_GB2312" w:hAnsi="??_GB2312" w:cs="??_GB2312"/>
        </w:rPr>
        <w:t>2020</w:t>
      </w:r>
      <w:r>
        <w:rPr>
          <w:rFonts w:hint="eastAsia" w:ascii="宋体" w:hAnsi="宋体" w:cs="宋体"/>
        </w:rPr>
        <w:t>年全市生产总值</w:t>
      </w:r>
      <w:r>
        <w:rPr>
          <w:rFonts w:ascii="??_GB2312" w:hAnsi="??_GB2312" w:cs="??_GB2312"/>
        </w:rPr>
        <w:t>526.57</w:t>
      </w:r>
      <w:r>
        <w:rPr>
          <w:rFonts w:hint="eastAsia" w:ascii="宋体" w:hAnsi="宋体" w:cs="宋体"/>
        </w:rPr>
        <w:t>亿元，其中工业产值</w:t>
      </w:r>
      <w:r>
        <w:rPr>
          <w:rFonts w:ascii="??_GB2312" w:hAnsi="??_GB2312" w:cs="??_GB2312"/>
        </w:rPr>
        <w:t>102.55</w:t>
      </w:r>
      <w:r>
        <w:rPr>
          <w:rFonts w:hint="eastAsia" w:ascii="宋体" w:hAnsi="宋体" w:cs="宋体"/>
        </w:rPr>
        <w:t>亿元。城镇居民人均可支配收入</w:t>
      </w:r>
      <w:r>
        <w:rPr>
          <w:rFonts w:ascii="??_GB2312" w:hAnsi="??_GB2312" w:cs="??_GB2312"/>
        </w:rPr>
        <w:t>29288</w:t>
      </w:r>
      <w:r>
        <w:rPr>
          <w:rFonts w:hint="eastAsia" w:ascii="宋体" w:hAnsi="宋体" w:cs="宋体"/>
        </w:rPr>
        <w:t>元，矿业产值（域内）</w:t>
      </w:r>
      <w:r>
        <w:rPr>
          <w:rFonts w:ascii="??_GB2312" w:hAnsi="??_GB2312" w:cs="??_GB2312"/>
        </w:rPr>
        <w:t>2.29</w:t>
      </w:r>
      <w:r>
        <w:rPr>
          <w:rFonts w:hint="eastAsia" w:ascii="宋体" w:hAnsi="宋体" w:cs="宋体"/>
        </w:rPr>
        <w:t>亿元，矿业产值占全市工业产值的</w:t>
      </w:r>
      <w:r>
        <w:rPr>
          <w:rFonts w:ascii="??_GB2312" w:hAnsi="??_GB2312" w:cs="??_GB2312"/>
        </w:rPr>
        <w:t>2.2%</w:t>
      </w:r>
      <w:r>
        <w:rPr>
          <w:rFonts w:hint="eastAsia" w:ascii="宋体" w:hAnsi="宋体" w:cs="宋体"/>
        </w:rPr>
        <w:t>。</w:t>
      </w:r>
    </w:p>
    <w:p>
      <w:pPr>
        <w:pStyle w:val="5"/>
        <w:ind w:firstLine="0" w:firstLineChars="0"/>
        <w:rPr>
          <w:rFonts w:ascii="??_GB2312" w:hAnsi="??_GB2312" w:cs="??_GB2312"/>
        </w:rPr>
      </w:pPr>
      <w:bookmarkStart w:id="6" w:name="_Toc30590"/>
      <w:bookmarkStart w:id="7" w:name="_Toc109168937"/>
      <w:bookmarkStart w:id="8" w:name="_Toc109202898"/>
      <w:bookmarkStart w:id="9" w:name="_Toc109168655"/>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矿产资源概况和主要特点</w:t>
      </w:r>
      <w:bookmarkEnd w:id="6"/>
      <w:bookmarkEnd w:id="7"/>
      <w:bookmarkEnd w:id="8"/>
      <w:bookmarkEnd w:id="9"/>
    </w:p>
    <w:p>
      <w:pPr>
        <w:spacing w:line="500" w:lineRule="exact"/>
        <w:ind w:firstLine="562"/>
        <w:rPr>
          <w:rFonts w:ascii="??_GB2312" w:hAnsi="??_GB2312" w:cs="??_GB2312"/>
          <w:b/>
          <w:bCs/>
        </w:rPr>
      </w:pPr>
      <w:r>
        <w:rPr>
          <w:rFonts w:hint="eastAsia" w:ascii="宋体" w:hAnsi="宋体" w:cs="宋体"/>
          <w:b/>
          <w:bCs/>
        </w:rPr>
        <w:t>一、矿产资源种类</w:t>
      </w:r>
    </w:p>
    <w:p>
      <w:pPr>
        <w:spacing w:line="500" w:lineRule="exact"/>
        <w:ind w:firstLine="560"/>
        <w:rPr>
          <w:rFonts w:ascii="??_GB2312" w:hAnsi="??_GB2312" w:cs="??_GB2312"/>
        </w:rPr>
      </w:pPr>
      <w:r>
        <w:rPr>
          <w:rFonts w:hint="eastAsia" w:ascii="宋体" w:hAnsi="宋体" w:cs="宋体"/>
        </w:rPr>
        <w:t>截止</w:t>
      </w:r>
      <w:r>
        <w:rPr>
          <w:rFonts w:ascii="??_GB2312" w:hAnsi="??_GB2312" w:cs="??_GB2312"/>
        </w:rPr>
        <w:t>2020</w:t>
      </w:r>
      <w:r>
        <w:rPr>
          <w:rFonts w:hint="eastAsia" w:ascii="宋体" w:hAnsi="宋体" w:cs="宋体"/>
        </w:rPr>
        <w:t>年底，已发现各类矿产</w:t>
      </w:r>
      <w:r>
        <w:rPr>
          <w:rFonts w:ascii="??_GB2312" w:hAnsi="??_GB2312" w:cs="??_GB2312"/>
        </w:rPr>
        <w:t>56</w:t>
      </w:r>
      <w:r>
        <w:rPr>
          <w:rFonts w:hint="eastAsia" w:ascii="宋体" w:hAnsi="宋体" w:cs="宋体"/>
        </w:rPr>
        <w:t>种，其中查明资源</w:t>
      </w:r>
      <w:r>
        <w:rPr>
          <w:rFonts w:hint="eastAsia" w:ascii="宋体" w:hAnsi="宋体" w:cs="宋体"/>
          <w:color w:val="auto"/>
          <w:lang w:eastAsia="zh-CN"/>
        </w:rPr>
        <w:t>储量的矿产有</w:t>
      </w:r>
      <w:r>
        <w:rPr>
          <w:rFonts w:ascii="??_GB2312" w:hAnsi="??_GB2312" w:cs="??_GB2312"/>
        </w:rPr>
        <w:t>30</w:t>
      </w:r>
      <w:r>
        <w:rPr>
          <w:rFonts w:hint="eastAsia" w:ascii="宋体" w:hAnsi="宋体" w:cs="宋体"/>
        </w:rPr>
        <w:t>种，未查明资源储量的矿产</w:t>
      </w:r>
      <w:r>
        <w:rPr>
          <w:rFonts w:ascii="??_GB2312" w:hAnsi="??_GB2312" w:cs="??_GB2312"/>
        </w:rPr>
        <w:t>26</w:t>
      </w:r>
      <w:r>
        <w:rPr>
          <w:rFonts w:hint="eastAsia" w:ascii="宋体" w:hAnsi="宋体" w:cs="宋体"/>
        </w:rPr>
        <w:t>种。已开发利用矿产</w:t>
      </w:r>
      <w:r>
        <w:rPr>
          <w:rFonts w:ascii="??_GB2312" w:hAnsi="??_GB2312" w:cs="??_GB2312"/>
        </w:rPr>
        <w:t>31</w:t>
      </w:r>
      <w:r>
        <w:rPr>
          <w:rFonts w:hint="eastAsia" w:ascii="宋体" w:hAnsi="宋体" w:cs="宋体"/>
        </w:rPr>
        <w:t>种（专栏</w:t>
      </w:r>
      <w:r>
        <w:rPr>
          <w:rFonts w:ascii="??_GB2312" w:hAnsi="??_GB2312" w:cs="??_GB2312"/>
        </w:rPr>
        <w:t>1</w:t>
      </w:r>
      <w:r>
        <w:rPr>
          <w:rFonts w:hint="eastAsia" w:ascii="宋体" w:hAnsi="宋体" w:cs="宋体"/>
        </w:rPr>
        <w:t>）。已列入吉林省矿产资源储量数据库的有</w:t>
      </w:r>
      <w:r>
        <w:rPr>
          <w:rFonts w:ascii="??_GB2312" w:hAnsi="??_GB2312" w:cs="??_GB2312"/>
        </w:rPr>
        <w:t>18</w:t>
      </w:r>
      <w:r>
        <w:rPr>
          <w:rFonts w:hint="eastAsia" w:ascii="宋体" w:hAnsi="宋体" w:cs="宋体"/>
        </w:rPr>
        <w:t>种，上表矿区</w:t>
      </w:r>
      <w:r>
        <w:rPr>
          <w:rFonts w:ascii="??_GB2312" w:hAnsi="??_GB2312" w:cs="??_GB2312"/>
        </w:rPr>
        <w:t>66</w:t>
      </w:r>
      <w:r>
        <w:rPr>
          <w:rFonts w:hint="eastAsia" w:ascii="宋体" w:hAnsi="宋体" w:cs="宋体"/>
        </w:rPr>
        <w:t>个。</w:t>
      </w:r>
    </w:p>
    <w:p>
      <w:pPr>
        <w:spacing w:line="500" w:lineRule="exact"/>
        <w:ind w:firstLine="562"/>
        <w:rPr>
          <w:rFonts w:ascii="??_GB2312" w:hAnsi="??_GB2312" w:cs="??_GB2312"/>
          <w:b/>
          <w:bCs/>
        </w:rPr>
      </w:pPr>
      <w:r>
        <w:rPr>
          <w:rFonts w:hint="eastAsia" w:ascii="宋体" w:hAnsi="宋体" w:cs="宋体"/>
          <w:b/>
          <w:bCs/>
        </w:rPr>
        <w:t>二、矿产资源分布</w:t>
      </w:r>
    </w:p>
    <w:p>
      <w:pPr>
        <w:spacing w:line="500" w:lineRule="exact"/>
        <w:ind w:firstLine="560"/>
        <w:rPr>
          <w:rFonts w:ascii="??_GB2312" w:hAnsi="??_GB2312" w:cs="??_GB2312"/>
        </w:rPr>
      </w:pPr>
      <w:r>
        <w:rPr>
          <w:rFonts w:hint="eastAsia" w:ascii="宋体" w:hAnsi="宋体" w:cs="宋体"/>
        </w:rPr>
        <w:t>四平市矿产资源分布于松嫩盆地（东南隆起区一部分）、大黑山条垒（南段）、依兰</w:t>
      </w:r>
      <w:r>
        <w:rPr>
          <w:rFonts w:ascii="??_GB2312" w:hAnsi="??_GB2312" w:cs="??_GB2312"/>
        </w:rPr>
        <w:t>—</w:t>
      </w:r>
      <w:r>
        <w:rPr>
          <w:rFonts w:hint="eastAsia" w:ascii="宋体" w:hAnsi="宋体" w:cs="宋体"/>
        </w:rPr>
        <w:t>伊通地堑（南段）、张广才</w:t>
      </w:r>
      <w:r>
        <w:rPr>
          <w:rFonts w:ascii="??_GB2312" w:hAnsi="??_GB2312" w:cs="??_GB2312"/>
        </w:rPr>
        <w:t>—</w:t>
      </w:r>
      <w:r>
        <w:rPr>
          <w:rFonts w:hint="eastAsia" w:ascii="宋体" w:hAnsi="宋体" w:cs="宋体"/>
        </w:rPr>
        <w:t>哈达岭火山沉积隆盆带（南部）。</w:t>
      </w:r>
    </w:p>
    <w:p>
      <w:pPr>
        <w:spacing w:line="500" w:lineRule="exact"/>
        <w:ind w:firstLine="560"/>
        <w:rPr>
          <w:rFonts w:ascii="??_GB2312" w:hAnsi="??_GB2312" w:cs="??_GB2312"/>
        </w:rPr>
      </w:pPr>
      <w:r>
        <w:rPr>
          <w:rFonts w:hint="eastAsia" w:ascii="宋体" w:hAnsi="宋体" w:cs="宋体"/>
        </w:rPr>
        <w:t>盆地内以能源矿产为主，有煤、石油、地热，并伴有玻璃用砂、膨润土等非金属矿产。山地中分布有铁、镍、金、银、铜、锌等金属矿产资源。</w:t>
      </w:r>
    </w:p>
    <w:p>
      <w:pPr>
        <w:spacing w:line="500" w:lineRule="exact"/>
        <w:ind w:firstLine="560"/>
        <w:rPr>
          <w:rFonts w:ascii="??_GB2312" w:hAnsi="??_GB2312" w:cs="??_GB2312"/>
        </w:rPr>
      </w:pPr>
      <w:r>
        <w:rPr>
          <w:rFonts w:hint="eastAsia" w:ascii="宋体" w:hAnsi="宋体" w:cs="宋体"/>
        </w:rPr>
        <w:t>从地域上划分，四平市铁东区主要分布有镍、金、银矿。梨树县主要分布有煤、铁、铜、硅灰石、陶瓷土、水泥用灰岩、水泥用大理岩等。双辽市主要为玻璃用砂，伊通县主要分布有金、铜、铅、锌、硫铁矿、建筑用石料等。</w:t>
      </w:r>
    </w:p>
    <w:tbl>
      <w:tblPr>
        <w:tblStyle w:val="20"/>
        <w:tblpPr w:leftFromText="180" w:rightFromText="180" w:vertAnchor="text" w:horzAnchor="page" w:tblpX="1445" w:tblpY="177"/>
        <w:tblOverlap w:val="never"/>
        <w:tblW w:w="920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08"/>
        <w:gridCol w:w="701"/>
        <w:gridCol w:w="2388"/>
        <w:gridCol w:w="1263"/>
        <w:gridCol w:w="3042"/>
        <w:gridCol w:w="9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9200" w:type="dxa"/>
            <w:gridSpan w:val="6"/>
            <w:tcBorders>
              <w:top w:val="single" w:color="auto" w:sz="12" w:space="0"/>
            </w:tcBorders>
            <w:shd w:val="clear" w:color="auto" w:fill="auto"/>
            <w:vAlign w:val="center"/>
          </w:tcPr>
          <w:p>
            <w:pPr>
              <w:widowControl/>
              <w:shd w:val="clear"/>
              <w:spacing w:line="240" w:lineRule="auto"/>
              <w:ind w:left="0" w:leftChars="0" w:firstLine="0" w:firstLineChars="0"/>
              <w:rPr>
                <w:rFonts w:ascii="??_GB2312" w:hAnsi="??_GB2312" w:cs="??_GB2312"/>
                <w:color w:val="auto"/>
                <w:kern w:val="0"/>
                <w:sz w:val="21"/>
                <w:szCs w:val="21"/>
                <w:highlight w:val="none"/>
              </w:rPr>
            </w:pPr>
            <w:r>
              <w:rPr>
                <w:rFonts w:hint="eastAsia" w:ascii="宋体" w:hAnsi="宋体" w:cs="宋体"/>
                <w:b/>
                <w:bCs/>
                <w:color w:val="auto"/>
                <w:kern w:val="0"/>
                <w:sz w:val="21"/>
                <w:szCs w:val="21"/>
                <w:highlight w:val="none"/>
              </w:rPr>
              <w:t>专栏</w:t>
            </w:r>
            <w:r>
              <w:rPr>
                <w:rFonts w:ascii="??_GB2312" w:hAnsi="??_GB2312" w:cs="??_GB2312"/>
                <w:b/>
                <w:bCs/>
                <w:color w:val="auto"/>
                <w:kern w:val="0"/>
                <w:sz w:val="21"/>
                <w:szCs w:val="21"/>
                <w:highlight w:val="none"/>
              </w:rPr>
              <w:t xml:space="preserve">1                      </w:t>
            </w:r>
            <w:r>
              <w:rPr>
                <w:rFonts w:hint="eastAsia" w:ascii="宋体" w:hAnsi="宋体" w:cs="宋体"/>
                <w:b/>
                <w:bCs/>
                <w:color w:val="auto"/>
                <w:kern w:val="0"/>
                <w:sz w:val="21"/>
                <w:szCs w:val="21"/>
                <w:highlight w:val="none"/>
              </w:rPr>
              <w:t>四平市已发现和开发利用的矿产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95" w:hRule="atLeast"/>
        </w:trPr>
        <w:tc>
          <w:tcPr>
            <w:tcW w:w="80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矿产种类</w:t>
            </w:r>
          </w:p>
        </w:tc>
        <w:tc>
          <w:tcPr>
            <w:tcW w:w="701"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矿种数量</w:t>
            </w:r>
          </w:p>
        </w:tc>
        <w:tc>
          <w:tcPr>
            <w:tcW w:w="238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查明资源储量的矿产</w:t>
            </w:r>
          </w:p>
        </w:tc>
        <w:tc>
          <w:tcPr>
            <w:tcW w:w="1263"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已查明资源储量的矿产</w:t>
            </w:r>
          </w:p>
        </w:tc>
        <w:tc>
          <w:tcPr>
            <w:tcW w:w="3042"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未查明资源储量的矿产</w:t>
            </w:r>
          </w:p>
        </w:tc>
        <w:tc>
          <w:tcPr>
            <w:tcW w:w="99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未查明资源储量的矿产数量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8" w:hRule="atLeast"/>
        </w:trPr>
        <w:tc>
          <w:tcPr>
            <w:tcW w:w="80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能源矿产</w:t>
            </w:r>
          </w:p>
        </w:tc>
        <w:tc>
          <w:tcPr>
            <w:tcW w:w="701"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5</w:t>
            </w:r>
          </w:p>
        </w:tc>
        <w:tc>
          <w:tcPr>
            <w:tcW w:w="2388" w:type="dxa"/>
            <w:shd w:val="clear" w:color="auto" w:fill="auto"/>
            <w:vAlign w:val="center"/>
          </w:tcPr>
          <w:p>
            <w:pPr>
              <w:widowControl/>
              <w:shd w:val="clear"/>
              <w:spacing w:line="240" w:lineRule="auto"/>
              <w:ind w:firstLine="0" w:firstLineChars="0"/>
              <w:rPr>
                <w:rFonts w:ascii="??_GB2312" w:hAnsi="??_GB2312" w:cs="??_GB2312"/>
                <w:color w:val="auto"/>
                <w:kern w:val="0"/>
                <w:sz w:val="21"/>
                <w:szCs w:val="21"/>
                <w:highlight w:val="none"/>
                <w:u w:val="single"/>
              </w:rPr>
            </w:pPr>
            <w:r>
              <w:rPr>
                <w:rFonts w:hint="eastAsia" w:ascii="宋体" w:hAnsi="宋体" w:cs="宋体"/>
                <w:color w:val="auto"/>
                <w:kern w:val="0"/>
                <w:sz w:val="21"/>
                <w:szCs w:val="21"/>
                <w:highlight w:val="none"/>
                <w:u w:val="single"/>
              </w:rPr>
              <w:t>石油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天然气</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煤炭</w:t>
            </w:r>
            <w:r>
              <w:rPr>
                <w:rFonts w:hint="eastAsia" w:ascii="宋体" w:hAnsi="宋体" w:cs="宋体"/>
                <w:b/>
                <w:bCs/>
                <w:color w:val="auto"/>
                <w:kern w:val="0"/>
                <w:sz w:val="21"/>
                <w:szCs w:val="21"/>
                <w:highlight w:val="none"/>
              </w:rPr>
              <w:t>、</w:t>
            </w:r>
          </w:p>
        </w:tc>
        <w:tc>
          <w:tcPr>
            <w:tcW w:w="1263"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3</w:t>
            </w:r>
          </w:p>
        </w:tc>
        <w:tc>
          <w:tcPr>
            <w:tcW w:w="3042"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油页岩、地热</w:t>
            </w:r>
          </w:p>
        </w:tc>
        <w:tc>
          <w:tcPr>
            <w:tcW w:w="998"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9" w:hRule="atLeast"/>
        </w:trPr>
        <w:tc>
          <w:tcPr>
            <w:tcW w:w="80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金属矿产</w:t>
            </w:r>
          </w:p>
        </w:tc>
        <w:tc>
          <w:tcPr>
            <w:tcW w:w="701"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ascii="??_GB2312" w:hAnsi="??_GB2312" w:cs="??_GB2312"/>
                <w:color w:val="auto"/>
                <w:kern w:val="0"/>
                <w:sz w:val="21"/>
                <w:szCs w:val="21"/>
                <w:highlight w:val="none"/>
              </w:rPr>
              <w:t>13</w:t>
            </w:r>
          </w:p>
        </w:tc>
        <w:tc>
          <w:tcPr>
            <w:tcW w:w="2388" w:type="dxa"/>
            <w:shd w:val="clear" w:color="auto" w:fill="auto"/>
            <w:vAlign w:val="center"/>
          </w:tcPr>
          <w:p>
            <w:pPr>
              <w:widowControl/>
              <w:shd w:val="clear"/>
              <w:spacing w:line="240" w:lineRule="auto"/>
              <w:ind w:firstLine="0" w:firstLineChars="0"/>
              <w:jc w:val="center"/>
              <w:rPr>
                <w:rFonts w:ascii="??_GB2312" w:hAnsi="??_GB2312" w:cs="??_GB2312"/>
                <w:b/>
                <w:bCs/>
                <w:color w:val="auto"/>
                <w:kern w:val="0"/>
                <w:sz w:val="21"/>
                <w:szCs w:val="21"/>
                <w:highlight w:val="none"/>
                <w:u w:val="single"/>
              </w:rPr>
            </w:pPr>
            <w:r>
              <w:rPr>
                <w:rFonts w:hint="eastAsia" w:ascii="宋体" w:hAnsi="宋体" w:cs="宋体"/>
                <w:b/>
                <w:bCs/>
                <w:color w:val="auto"/>
                <w:kern w:val="0"/>
                <w:sz w:val="21"/>
                <w:szCs w:val="21"/>
                <w:highlight w:val="none"/>
                <w:u w:val="single"/>
              </w:rPr>
              <w:t>铁</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铜</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锌</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铅</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镍</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铋</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金</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银</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铟</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镉</w:t>
            </w:r>
          </w:p>
        </w:tc>
        <w:tc>
          <w:tcPr>
            <w:tcW w:w="1263"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10</w:t>
            </w:r>
          </w:p>
        </w:tc>
        <w:tc>
          <w:tcPr>
            <w:tcW w:w="3042"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锰、钨、钼</w:t>
            </w:r>
          </w:p>
        </w:tc>
        <w:tc>
          <w:tcPr>
            <w:tcW w:w="998"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58" w:hRule="atLeast"/>
        </w:trPr>
        <w:tc>
          <w:tcPr>
            <w:tcW w:w="80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　</w:t>
            </w:r>
          </w:p>
        </w:tc>
        <w:tc>
          <w:tcPr>
            <w:tcW w:w="701"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37</w:t>
            </w:r>
          </w:p>
        </w:tc>
        <w:tc>
          <w:tcPr>
            <w:tcW w:w="2388" w:type="dxa"/>
            <w:shd w:val="clear" w:color="auto" w:fill="auto"/>
            <w:vAlign w:val="center"/>
          </w:tcPr>
          <w:p>
            <w:pPr>
              <w:widowControl/>
              <w:shd w:val="clear"/>
              <w:spacing w:line="240" w:lineRule="auto"/>
              <w:ind w:firstLine="0" w:firstLineChars="0"/>
              <w:rPr>
                <w:rFonts w:ascii="??_GB2312" w:hAnsi="??_GB2312" w:cs="??_GB2312"/>
                <w:b/>
                <w:bCs/>
                <w:color w:val="auto"/>
                <w:kern w:val="0"/>
                <w:sz w:val="21"/>
                <w:szCs w:val="21"/>
                <w:highlight w:val="none"/>
                <w:u w:val="single"/>
              </w:rPr>
            </w:pPr>
            <w:r>
              <w:rPr>
                <w:rFonts w:hint="eastAsia" w:ascii="宋体" w:hAnsi="宋体" w:cs="宋体"/>
                <w:b/>
                <w:bCs/>
                <w:color w:val="auto"/>
                <w:kern w:val="0"/>
                <w:sz w:val="21"/>
                <w:szCs w:val="21"/>
                <w:highlight w:val="none"/>
                <w:u w:val="single"/>
              </w:rPr>
              <w:t>硫铁矿</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硅灰石</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水泥用灰岩</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泥灰岩</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玻璃用砂</w:t>
            </w:r>
            <w:r>
              <w:rPr>
                <w:rFonts w:hint="eastAsia" w:ascii="宋体" w:hAnsi="宋体" w:cs="宋体"/>
                <w:color w:val="auto"/>
                <w:kern w:val="0"/>
                <w:sz w:val="21"/>
                <w:szCs w:val="21"/>
                <w:highlight w:val="none"/>
              </w:rPr>
              <w:t>、陶瓷土、</w:t>
            </w:r>
            <w:r>
              <w:rPr>
                <w:rFonts w:hint="eastAsia" w:ascii="宋体" w:hAnsi="宋体" w:cs="宋体"/>
                <w:b/>
                <w:bCs/>
                <w:color w:val="auto"/>
                <w:kern w:val="0"/>
                <w:sz w:val="21"/>
                <w:szCs w:val="21"/>
                <w:highlight w:val="none"/>
                <w:u w:val="single"/>
              </w:rPr>
              <w:t>膨润土</w:t>
            </w:r>
            <w:r>
              <w:rPr>
                <w:rFonts w:hint="eastAsia" w:ascii="宋体" w:hAnsi="宋体" w:cs="宋体"/>
                <w:color w:val="auto"/>
                <w:kern w:val="0"/>
                <w:sz w:val="21"/>
                <w:szCs w:val="21"/>
                <w:highlight w:val="none"/>
              </w:rPr>
              <w:t>、玻璃用白云岩、</w:t>
            </w:r>
            <w:r>
              <w:rPr>
                <w:rFonts w:hint="eastAsia" w:ascii="宋体" w:hAnsi="宋体" w:cs="宋体"/>
                <w:color w:val="auto"/>
                <w:kern w:val="0"/>
                <w:sz w:val="21"/>
                <w:szCs w:val="21"/>
                <w:highlight w:val="none"/>
                <w:u w:val="single"/>
              </w:rPr>
              <w:t>水泥配料用黄土</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u w:val="single"/>
              </w:rPr>
              <w:t>水泥用大理岩、</w:t>
            </w:r>
            <w:r>
              <w:rPr>
                <w:rFonts w:hint="eastAsia" w:ascii="宋体" w:hAnsi="宋体" w:cs="宋体"/>
                <w:color w:val="auto"/>
                <w:kern w:val="0"/>
                <w:sz w:val="21"/>
                <w:szCs w:val="21"/>
                <w:highlight w:val="none"/>
                <w:u w:val="single"/>
              </w:rPr>
              <w:t>水泥用凝灰岩</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建筑用玄武岩</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建筑用花岗岩</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建筑用大理岩</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建筑用安山岩</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建筑用闪长岩</w:t>
            </w:r>
          </w:p>
        </w:tc>
        <w:tc>
          <w:tcPr>
            <w:tcW w:w="1263"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16</w:t>
            </w:r>
          </w:p>
        </w:tc>
        <w:tc>
          <w:tcPr>
            <w:tcW w:w="3042" w:type="dxa"/>
            <w:shd w:val="clear" w:color="auto" w:fill="auto"/>
            <w:vAlign w:val="center"/>
          </w:tcPr>
          <w:p>
            <w:pPr>
              <w:widowControl/>
              <w:shd w:val="clear"/>
              <w:spacing w:line="240" w:lineRule="auto"/>
              <w:ind w:firstLine="0" w:firstLineChars="0"/>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普通萤石、</w:t>
            </w:r>
            <w:r>
              <w:rPr>
                <w:rFonts w:hint="eastAsia" w:ascii="宋体" w:hAnsi="宋体" w:cs="宋体"/>
                <w:color w:val="auto"/>
                <w:kern w:val="0"/>
                <w:sz w:val="21"/>
                <w:szCs w:val="21"/>
                <w:highlight w:val="none"/>
                <w:u w:val="single"/>
              </w:rPr>
              <w:t>铸型用砂</w:t>
            </w:r>
            <w:r>
              <w:rPr>
                <w:rFonts w:hint="eastAsia" w:ascii="宋体" w:hAnsi="宋体" w:cs="宋体"/>
                <w:color w:val="auto"/>
                <w:kern w:val="0"/>
                <w:sz w:val="21"/>
                <w:szCs w:val="21"/>
                <w:highlight w:val="none"/>
              </w:rPr>
              <w:t>、铸型用粘土、</w:t>
            </w:r>
            <w:r>
              <w:rPr>
                <w:rFonts w:hint="eastAsia" w:ascii="宋体" w:hAnsi="宋体" w:cs="宋体"/>
                <w:color w:val="auto"/>
                <w:kern w:val="0"/>
                <w:sz w:val="21"/>
                <w:szCs w:val="21"/>
                <w:highlight w:val="none"/>
                <w:u w:val="single"/>
              </w:rPr>
              <w:t>冶金用白云岩</w:t>
            </w:r>
            <w:r>
              <w:rPr>
                <w:rFonts w:hint="eastAsia" w:ascii="宋体" w:hAnsi="宋体" w:cs="宋体"/>
                <w:color w:val="auto"/>
                <w:kern w:val="0"/>
                <w:sz w:val="21"/>
                <w:szCs w:val="21"/>
                <w:highlight w:val="none"/>
              </w:rPr>
              <w:t>、陶粒页岩、</w:t>
            </w:r>
            <w:r>
              <w:rPr>
                <w:rFonts w:hint="eastAsia" w:ascii="宋体" w:hAnsi="宋体" w:cs="宋体"/>
                <w:color w:val="auto"/>
                <w:kern w:val="0"/>
                <w:sz w:val="21"/>
                <w:szCs w:val="21"/>
                <w:highlight w:val="none"/>
                <w:u w:val="single"/>
              </w:rPr>
              <w:t>方解石</w:t>
            </w:r>
            <w:r>
              <w:rPr>
                <w:rFonts w:hint="eastAsia" w:ascii="宋体" w:hAnsi="宋体" w:cs="宋体"/>
                <w:color w:val="auto"/>
                <w:kern w:val="0"/>
                <w:sz w:val="21"/>
                <w:szCs w:val="21"/>
                <w:highlight w:val="none"/>
              </w:rPr>
              <w:t>、水泥配料用页岩、建筑用白云岩、</w:t>
            </w:r>
            <w:r>
              <w:rPr>
                <w:rFonts w:hint="eastAsia" w:ascii="宋体" w:hAnsi="宋体" w:cs="宋体"/>
                <w:color w:val="auto"/>
                <w:kern w:val="0"/>
                <w:sz w:val="21"/>
                <w:szCs w:val="21"/>
                <w:highlight w:val="none"/>
                <w:u w:val="single"/>
              </w:rPr>
              <w:t>建筑用灰岩</w:t>
            </w:r>
            <w:r>
              <w:rPr>
                <w:rFonts w:hint="eastAsia" w:ascii="宋体" w:hAnsi="宋体" w:cs="宋体"/>
                <w:color w:val="auto"/>
                <w:kern w:val="0"/>
                <w:sz w:val="21"/>
                <w:szCs w:val="21"/>
                <w:highlight w:val="none"/>
              </w:rPr>
              <w:t>、砖瓦用页岩、</w:t>
            </w:r>
            <w:r>
              <w:rPr>
                <w:rFonts w:hint="eastAsia" w:ascii="宋体" w:hAnsi="宋体" w:cs="宋体"/>
                <w:color w:val="auto"/>
                <w:kern w:val="0"/>
                <w:sz w:val="21"/>
                <w:szCs w:val="21"/>
                <w:highlight w:val="none"/>
                <w:u w:val="single"/>
              </w:rPr>
              <w:t>玻璃用灰岩</w:t>
            </w:r>
            <w:r>
              <w:rPr>
                <w:rFonts w:hint="eastAsia" w:ascii="宋体" w:hAnsi="宋体" w:cs="宋体"/>
                <w:color w:val="auto"/>
                <w:kern w:val="0"/>
                <w:sz w:val="21"/>
                <w:szCs w:val="21"/>
                <w:highlight w:val="none"/>
              </w:rPr>
              <w:t>、玻璃用石英岩、</w:t>
            </w:r>
            <w:r>
              <w:rPr>
                <w:rFonts w:hint="eastAsia" w:ascii="宋体" w:hAnsi="宋体" w:cs="宋体"/>
                <w:color w:val="auto"/>
                <w:kern w:val="0"/>
                <w:sz w:val="21"/>
                <w:szCs w:val="21"/>
                <w:highlight w:val="none"/>
                <w:u w:val="single"/>
              </w:rPr>
              <w:t>麦饭石</w:t>
            </w:r>
            <w:r>
              <w:rPr>
                <w:rFonts w:hint="eastAsia" w:ascii="宋体" w:hAnsi="宋体" w:cs="宋体"/>
                <w:color w:val="auto"/>
                <w:kern w:val="0"/>
                <w:sz w:val="21"/>
                <w:szCs w:val="21"/>
                <w:highlight w:val="none"/>
              </w:rPr>
              <w:t>、水泥配料用砂岩、制灰用灰岩、</w:t>
            </w:r>
            <w:r>
              <w:rPr>
                <w:rFonts w:hint="eastAsia" w:ascii="宋体" w:hAnsi="宋体" w:cs="宋体"/>
                <w:color w:val="auto"/>
                <w:kern w:val="0"/>
                <w:sz w:val="21"/>
                <w:szCs w:val="21"/>
                <w:highlight w:val="none"/>
                <w:u w:val="single"/>
              </w:rPr>
              <w:t>建筑用砂</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砖瓦用粘土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沸石</w:t>
            </w:r>
            <w:r>
              <w:rPr>
                <w:rFonts w:hint="eastAsia" w:ascii="宋体" w:hAnsi="宋体" w:cs="宋体"/>
                <w:color w:val="auto"/>
                <w:kern w:val="0"/>
                <w:sz w:val="21"/>
                <w:szCs w:val="21"/>
                <w:highlight w:val="none"/>
              </w:rPr>
              <w:t>、伊利石、珍珠岩、泥炭</w:t>
            </w:r>
          </w:p>
        </w:tc>
        <w:tc>
          <w:tcPr>
            <w:tcW w:w="998" w:type="dxa"/>
            <w:shd w:val="clear" w:color="auto" w:fill="auto"/>
            <w:vAlign w:val="center"/>
          </w:tcPr>
          <w:p>
            <w:pPr>
              <w:widowControl/>
              <w:shd w:val="clear"/>
              <w:spacing w:line="240" w:lineRule="auto"/>
              <w:ind w:firstLine="0" w:firstLineChars="0"/>
              <w:jc w:val="center"/>
              <w:rPr>
                <w:rFonts w:ascii="??_GB2312" w:hAnsi="??_GB2312" w:cs="??_GB2312"/>
                <w:color w:val="auto"/>
                <w:kern w:val="0"/>
                <w:sz w:val="24"/>
                <w:szCs w:val="24"/>
                <w:highlight w:val="none"/>
              </w:rPr>
            </w:pPr>
            <w:r>
              <w:rPr>
                <w:rFonts w:ascii="??_GB2312" w:hAnsi="??_GB2312" w:cs="??_GB2312"/>
                <w:color w:val="auto"/>
                <w:kern w:val="0"/>
                <w:sz w:val="24"/>
                <w:szCs w:val="24"/>
                <w:highlight w:val="none"/>
              </w:rPr>
              <w:t>21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8" w:hRule="atLeast"/>
        </w:trPr>
        <w:tc>
          <w:tcPr>
            <w:tcW w:w="80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水气矿产</w:t>
            </w:r>
          </w:p>
        </w:tc>
        <w:tc>
          <w:tcPr>
            <w:tcW w:w="701"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ascii="??_GB2312" w:hAnsi="??_GB2312" w:cs="??_GB2312"/>
                <w:color w:val="auto"/>
                <w:kern w:val="0"/>
                <w:sz w:val="21"/>
                <w:szCs w:val="21"/>
                <w:highlight w:val="none"/>
              </w:rPr>
              <w:t>1</w:t>
            </w:r>
          </w:p>
        </w:tc>
        <w:tc>
          <w:tcPr>
            <w:tcW w:w="2388" w:type="dxa"/>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u w:val="single"/>
              </w:rPr>
            </w:pPr>
            <w:r>
              <w:rPr>
                <w:rFonts w:hint="eastAsia" w:ascii="宋体" w:hAnsi="宋体" w:cs="宋体"/>
                <w:color w:val="auto"/>
                <w:kern w:val="0"/>
                <w:sz w:val="21"/>
                <w:szCs w:val="21"/>
                <w:highlight w:val="none"/>
                <w:u w:val="single"/>
              </w:rPr>
              <w:t>矿泉水</w:t>
            </w:r>
          </w:p>
        </w:tc>
        <w:tc>
          <w:tcPr>
            <w:tcW w:w="1263" w:type="dxa"/>
            <w:shd w:val="clear" w:color="auto" w:fill="auto"/>
            <w:vAlign w:val="center"/>
          </w:tcPr>
          <w:p>
            <w:pPr>
              <w:widowControl/>
              <w:shd w:val="clear"/>
              <w:spacing w:line="240" w:lineRule="auto"/>
              <w:ind w:firstLine="480"/>
              <w:rPr>
                <w:rFonts w:ascii="??_GB2312" w:hAnsi="??_GB2312" w:cs="??_GB2312"/>
                <w:color w:val="auto"/>
                <w:kern w:val="0"/>
                <w:sz w:val="24"/>
                <w:szCs w:val="24"/>
                <w:highlight w:val="none"/>
              </w:rPr>
            </w:pPr>
            <w:r>
              <w:rPr>
                <w:rFonts w:ascii="??_GB2312" w:hAnsi="??_GB2312" w:cs="??_GB2312"/>
                <w:color w:val="auto"/>
                <w:kern w:val="0"/>
                <w:sz w:val="24"/>
                <w:szCs w:val="24"/>
                <w:highlight w:val="none"/>
              </w:rPr>
              <w:t>1</w:t>
            </w:r>
          </w:p>
        </w:tc>
        <w:tc>
          <w:tcPr>
            <w:tcW w:w="3042" w:type="dxa"/>
            <w:shd w:val="clear" w:color="auto" w:fill="auto"/>
            <w:vAlign w:val="center"/>
          </w:tcPr>
          <w:p>
            <w:pPr>
              <w:widowControl/>
              <w:shd w:val="clear"/>
              <w:spacing w:line="240" w:lineRule="auto"/>
              <w:ind w:firstLine="420"/>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　</w:t>
            </w:r>
          </w:p>
        </w:tc>
        <w:tc>
          <w:tcPr>
            <w:tcW w:w="998" w:type="dxa"/>
            <w:shd w:val="clear" w:color="auto" w:fill="auto"/>
            <w:vAlign w:val="center"/>
          </w:tcPr>
          <w:p>
            <w:pPr>
              <w:widowControl/>
              <w:shd w:val="clear"/>
              <w:spacing w:line="240" w:lineRule="auto"/>
              <w:ind w:firstLine="480"/>
              <w:rPr>
                <w:rFonts w:ascii="??_GB2312" w:hAnsi="??_GB2312" w:cs="??_GB2312"/>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808" w:type="dxa"/>
            <w:tcBorders>
              <w:bottom w:val="single" w:color="auto" w:sz="12" w:space="0"/>
            </w:tcBorders>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hint="eastAsia" w:ascii="宋体" w:hAnsi="宋体" w:cs="宋体"/>
                <w:color w:val="auto"/>
                <w:kern w:val="0"/>
                <w:sz w:val="21"/>
                <w:szCs w:val="21"/>
                <w:highlight w:val="none"/>
              </w:rPr>
              <w:t>合计</w:t>
            </w:r>
          </w:p>
        </w:tc>
        <w:tc>
          <w:tcPr>
            <w:tcW w:w="701" w:type="dxa"/>
            <w:tcBorders>
              <w:bottom w:val="single" w:color="auto" w:sz="12" w:space="0"/>
            </w:tcBorders>
            <w:shd w:val="clear" w:color="auto" w:fill="auto"/>
            <w:vAlign w:val="center"/>
          </w:tcPr>
          <w:p>
            <w:pPr>
              <w:widowControl/>
              <w:shd w:val="clear"/>
              <w:spacing w:line="240" w:lineRule="auto"/>
              <w:ind w:firstLine="0" w:firstLineChars="0"/>
              <w:jc w:val="center"/>
              <w:rPr>
                <w:rFonts w:ascii="??_GB2312" w:hAnsi="??_GB2312" w:cs="??_GB2312"/>
                <w:color w:val="auto"/>
                <w:kern w:val="0"/>
                <w:sz w:val="21"/>
                <w:szCs w:val="21"/>
                <w:highlight w:val="none"/>
              </w:rPr>
            </w:pPr>
            <w:r>
              <w:rPr>
                <w:rFonts w:ascii="??_GB2312" w:hAnsi="??_GB2312" w:cs="??_GB2312"/>
                <w:color w:val="auto"/>
                <w:kern w:val="0"/>
                <w:sz w:val="21"/>
                <w:szCs w:val="21"/>
                <w:highlight w:val="none"/>
              </w:rPr>
              <w:t>56</w:t>
            </w:r>
            <w:r>
              <w:rPr>
                <w:rFonts w:hint="eastAsia" w:ascii="宋体" w:hAnsi="宋体" w:cs="宋体"/>
                <w:color w:val="auto"/>
                <w:kern w:val="0"/>
                <w:sz w:val="21"/>
                <w:szCs w:val="21"/>
                <w:highlight w:val="none"/>
              </w:rPr>
              <w:t>种</w:t>
            </w:r>
          </w:p>
        </w:tc>
        <w:tc>
          <w:tcPr>
            <w:tcW w:w="3651" w:type="dxa"/>
            <w:gridSpan w:val="2"/>
            <w:tcBorders>
              <w:bottom w:val="single" w:color="auto" w:sz="12" w:space="0"/>
            </w:tcBorders>
            <w:shd w:val="clear" w:color="auto" w:fill="auto"/>
            <w:vAlign w:val="center"/>
          </w:tcPr>
          <w:p>
            <w:pPr>
              <w:widowControl/>
              <w:shd w:val="clear"/>
              <w:spacing w:line="240" w:lineRule="auto"/>
              <w:ind w:firstLine="420"/>
              <w:rPr>
                <w:rFonts w:ascii="??_GB2312" w:hAnsi="??_GB2312" w:cs="??_GB2312"/>
                <w:color w:val="auto"/>
                <w:kern w:val="0"/>
                <w:sz w:val="21"/>
                <w:szCs w:val="21"/>
                <w:highlight w:val="none"/>
              </w:rPr>
            </w:pPr>
            <w:r>
              <w:rPr>
                <w:rFonts w:ascii="??_GB2312" w:hAnsi="??_GB2312" w:cs="??_GB2312"/>
                <w:color w:val="auto"/>
                <w:kern w:val="0"/>
                <w:sz w:val="21"/>
                <w:szCs w:val="21"/>
                <w:highlight w:val="none"/>
              </w:rPr>
              <w:t>30</w:t>
            </w:r>
            <w:r>
              <w:rPr>
                <w:rFonts w:hint="eastAsia" w:ascii="宋体" w:hAnsi="宋体" w:cs="宋体"/>
                <w:color w:val="auto"/>
                <w:kern w:val="0"/>
                <w:sz w:val="21"/>
                <w:szCs w:val="21"/>
                <w:highlight w:val="none"/>
              </w:rPr>
              <w:t>种（开发利用</w:t>
            </w:r>
            <w:r>
              <w:rPr>
                <w:rFonts w:ascii="??_GB2312" w:hAnsi="??_GB2312" w:cs="??_GB2312"/>
                <w:color w:val="auto"/>
                <w:kern w:val="0"/>
                <w:sz w:val="21"/>
                <w:szCs w:val="21"/>
                <w:highlight w:val="none"/>
              </w:rPr>
              <w:t>22</w:t>
            </w:r>
            <w:r>
              <w:rPr>
                <w:rFonts w:hint="eastAsia" w:ascii="宋体" w:hAnsi="宋体" w:cs="宋体"/>
                <w:color w:val="auto"/>
                <w:kern w:val="0"/>
                <w:sz w:val="21"/>
                <w:szCs w:val="21"/>
                <w:highlight w:val="none"/>
              </w:rPr>
              <w:t>种）</w:t>
            </w:r>
          </w:p>
        </w:tc>
        <w:tc>
          <w:tcPr>
            <w:tcW w:w="4040" w:type="dxa"/>
            <w:gridSpan w:val="2"/>
            <w:tcBorders>
              <w:bottom w:val="single" w:color="auto" w:sz="12" w:space="0"/>
            </w:tcBorders>
            <w:shd w:val="clear" w:color="auto" w:fill="auto"/>
            <w:vAlign w:val="center"/>
          </w:tcPr>
          <w:p>
            <w:pPr>
              <w:widowControl/>
              <w:shd w:val="clear"/>
              <w:spacing w:line="240" w:lineRule="auto"/>
              <w:ind w:firstLine="420"/>
              <w:rPr>
                <w:rFonts w:ascii="??_GB2312" w:hAnsi="??_GB2312" w:cs="??_GB2312"/>
                <w:color w:val="auto"/>
                <w:kern w:val="0"/>
                <w:sz w:val="21"/>
                <w:szCs w:val="21"/>
                <w:highlight w:val="none"/>
              </w:rPr>
            </w:pPr>
            <w:r>
              <w:rPr>
                <w:rFonts w:ascii="??_GB2312" w:hAnsi="??_GB2312" w:cs="??_GB2312"/>
                <w:color w:val="auto"/>
                <w:kern w:val="0"/>
                <w:sz w:val="21"/>
                <w:szCs w:val="21"/>
                <w:highlight w:val="none"/>
              </w:rPr>
              <w:t>26</w:t>
            </w:r>
            <w:r>
              <w:rPr>
                <w:rFonts w:hint="eastAsia" w:ascii="宋体" w:hAnsi="宋体" w:cs="宋体"/>
                <w:color w:val="auto"/>
                <w:kern w:val="0"/>
                <w:sz w:val="21"/>
                <w:szCs w:val="21"/>
                <w:highlight w:val="none"/>
              </w:rPr>
              <w:t>种（开发利用</w:t>
            </w:r>
            <w:r>
              <w:rPr>
                <w:rFonts w:ascii="??_GB2312" w:hAnsi="??_GB2312" w:cs="??_GB2312"/>
                <w:color w:val="auto"/>
                <w:kern w:val="0"/>
                <w:sz w:val="21"/>
                <w:szCs w:val="21"/>
                <w:highlight w:val="none"/>
              </w:rPr>
              <w:t>9</w:t>
            </w:r>
            <w:r>
              <w:rPr>
                <w:rFonts w:hint="eastAsia" w:ascii="宋体" w:hAnsi="宋体" w:cs="宋体"/>
                <w:color w:val="auto"/>
                <w:kern w:val="0"/>
                <w:sz w:val="21"/>
                <w:szCs w:val="21"/>
                <w:highlight w:val="none"/>
              </w:rPr>
              <w:t>种）</w:t>
            </w:r>
          </w:p>
        </w:tc>
      </w:tr>
    </w:tbl>
    <w:p>
      <w:pPr>
        <w:shd w:val="clear"/>
        <w:ind w:firstLine="420"/>
        <w:rPr>
          <w:rFonts w:ascii="??_GB2312" w:hAnsi="??_GB2312" w:cs="??_GB2312"/>
          <w:sz w:val="21"/>
          <w:szCs w:val="21"/>
        </w:rPr>
      </w:pPr>
      <w:r>
        <w:rPr>
          <w:rFonts w:hint="eastAsia" w:ascii="宋体" w:hAnsi="宋体" w:cs="宋体"/>
          <w:sz w:val="21"/>
          <w:szCs w:val="21"/>
        </w:rPr>
        <w:t>注：</w:t>
      </w:r>
      <w:r>
        <w:rPr>
          <w:rFonts w:hint="eastAsia" w:ascii="宋体" w:hAnsi="宋体" w:cs="宋体"/>
          <w:sz w:val="21"/>
          <w:szCs w:val="21"/>
          <w:u w:val="single"/>
        </w:rPr>
        <w:t>加下划线字体为已开发利用矿产</w:t>
      </w:r>
      <w:r>
        <w:rPr>
          <w:rFonts w:hint="eastAsia" w:ascii="宋体" w:hAnsi="宋体" w:cs="宋体"/>
          <w:sz w:val="21"/>
          <w:szCs w:val="21"/>
        </w:rPr>
        <w:t>，</w:t>
      </w:r>
      <w:r>
        <w:rPr>
          <w:rFonts w:hint="eastAsia" w:ascii="宋体" w:hAnsi="宋体" w:cs="宋体"/>
          <w:b/>
          <w:bCs/>
          <w:sz w:val="21"/>
          <w:szCs w:val="21"/>
        </w:rPr>
        <w:t>加粗字体为上省储量表矿产</w:t>
      </w:r>
    </w:p>
    <w:p>
      <w:pPr>
        <w:spacing w:line="500" w:lineRule="exact"/>
        <w:ind w:firstLine="562"/>
        <w:rPr>
          <w:rFonts w:ascii="??_GB2312" w:hAnsi="??_GB2312" w:cs="??_GB2312"/>
          <w:b/>
          <w:bCs/>
        </w:rPr>
      </w:pPr>
      <w:r>
        <w:rPr>
          <w:rFonts w:hint="eastAsia" w:ascii="宋体" w:hAnsi="宋体" w:cs="宋体"/>
          <w:b/>
          <w:bCs/>
        </w:rPr>
        <w:t>三、矿产资源主要特点</w:t>
      </w:r>
    </w:p>
    <w:p>
      <w:pPr>
        <w:spacing w:line="500" w:lineRule="exact"/>
        <w:ind w:firstLine="562"/>
        <w:rPr>
          <w:rFonts w:ascii="宋体" w:hAnsi="宋体" w:cs="宋体"/>
        </w:rPr>
      </w:pPr>
      <w:r>
        <w:rPr>
          <w:rFonts w:hint="eastAsia" w:ascii="宋体" w:hAnsi="宋体" w:cs="宋体"/>
          <w:b/>
          <w:bCs/>
        </w:rPr>
        <w:t>部分矿产资源储量丰富。</w:t>
      </w:r>
      <w:r>
        <w:rPr>
          <w:rFonts w:hint="eastAsia" w:ascii="宋体" w:hAnsi="宋体" w:cs="宋体"/>
        </w:rPr>
        <w:t>铋矿、硅灰石保有资源量位列我省首位，银矿、锌矿、玻璃用砂、膨润土等，保有资源储量居全省前列，具有明显资源优势。</w:t>
      </w:r>
    </w:p>
    <w:p>
      <w:pPr>
        <w:spacing w:line="500" w:lineRule="exact"/>
        <w:ind w:firstLine="560"/>
        <w:rPr>
          <w:rFonts w:ascii="??_GB2312" w:hAnsi="??_GB2312" w:cs="??_GB2312"/>
        </w:rPr>
      </w:pPr>
    </w:p>
    <w:p>
      <w:pPr>
        <w:spacing w:line="500" w:lineRule="exact"/>
        <w:ind w:firstLine="562"/>
        <w:rPr>
          <w:rFonts w:ascii="??_GB2312" w:hAnsi="??_GB2312" w:cs="??_GB2312"/>
        </w:rPr>
      </w:pPr>
      <w:r>
        <w:rPr>
          <w:rFonts w:hint="eastAsia" w:ascii="宋体" w:hAnsi="宋体" w:cs="宋体"/>
          <w:b/>
          <w:bCs/>
        </w:rPr>
        <w:t>部分矿产资源找矿前景好。</w:t>
      </w:r>
      <w:r>
        <w:rPr>
          <w:rFonts w:hint="eastAsia" w:ascii="宋体" w:hAnsi="宋体" w:cs="宋体"/>
        </w:rPr>
        <w:t>舒兰裂陷和依兰伊通地堑分布区具有较好的石油、天然气、煤炭、地热等能源矿产及金属非金属矿产，成矿地质条件好，找矿潜力较大。</w:t>
      </w:r>
    </w:p>
    <w:p>
      <w:pPr>
        <w:spacing w:line="500" w:lineRule="exact"/>
        <w:ind w:firstLine="562"/>
        <w:rPr>
          <w:rFonts w:ascii="??_GB2312" w:hAnsi="??_GB2312" w:cs="??_GB2312"/>
        </w:rPr>
      </w:pPr>
      <w:r>
        <w:rPr>
          <w:rFonts w:hint="eastAsia" w:ascii="宋体" w:hAnsi="宋体" w:cs="宋体"/>
          <w:b/>
          <w:bCs/>
        </w:rPr>
        <w:t>矿石质量优劣不一。</w:t>
      </w:r>
      <w:r>
        <w:rPr>
          <w:rFonts w:hint="eastAsia" w:ascii="宋体" w:hAnsi="宋体" w:cs="宋体"/>
        </w:rPr>
        <w:t>非金属矿产大多品位稳定，质量好，适宜深加工，如硅灰石、水泥用灰岩（大理岩）。金属矿产低品位较多、高品位较少。单一矿产少，多以共生或伴生形式赋存。</w:t>
      </w:r>
    </w:p>
    <w:p>
      <w:pPr>
        <w:spacing w:line="500" w:lineRule="exact"/>
        <w:ind w:firstLine="562"/>
        <w:rPr>
          <w:rFonts w:ascii="??_GB2312" w:hAnsi="??_GB2312" w:cs="??_GB2312"/>
        </w:rPr>
      </w:pPr>
      <w:r>
        <w:rPr>
          <w:rFonts w:hint="eastAsia" w:ascii="宋体" w:hAnsi="宋体" w:cs="宋体"/>
          <w:b/>
          <w:bCs/>
        </w:rPr>
        <w:t>优势矿产资源</w:t>
      </w:r>
      <w:r>
        <w:rPr>
          <w:rFonts w:hint="eastAsia" w:ascii="宋体" w:hAnsi="宋体" w:cs="宋体"/>
        </w:rPr>
        <w:t>。根据矿产资源储量、矿石质量、开发条件等因素，银、硅灰石、水泥用灰岩（大理岩）、玻璃用砂及建筑用石料具有一定优势。</w:t>
      </w:r>
    </w:p>
    <w:p>
      <w:pPr>
        <w:spacing w:line="500" w:lineRule="exact"/>
        <w:ind w:firstLine="562"/>
        <w:rPr>
          <w:rFonts w:ascii="??_GB2312" w:hAnsi="??_GB2312" w:cs="??_GB2312"/>
          <w:b/>
          <w:bCs/>
        </w:rPr>
      </w:pPr>
      <w:r>
        <w:rPr>
          <w:rFonts w:hint="eastAsia" w:ascii="宋体" w:hAnsi="宋体" w:cs="宋体"/>
          <w:b/>
          <w:bCs/>
        </w:rPr>
        <w:t>四、第三轮规划实施成效</w:t>
      </w:r>
    </w:p>
    <w:p>
      <w:pPr>
        <w:spacing w:line="500" w:lineRule="exact"/>
        <w:ind w:firstLine="562"/>
        <w:rPr>
          <w:rFonts w:ascii="??_GB2312" w:hAnsi="??_GB2312" w:cs="??_GB2312"/>
        </w:rPr>
      </w:pPr>
      <w:r>
        <w:rPr>
          <w:rFonts w:hint="eastAsia" w:ascii="宋体" w:hAnsi="宋体" w:cs="宋体"/>
          <w:b/>
          <w:bCs/>
        </w:rPr>
        <w:t>矿产资源开发利用结构逐步优化。</w:t>
      </w:r>
      <w:r>
        <w:rPr>
          <w:rFonts w:hint="eastAsia" w:ascii="宋体" w:hAnsi="宋体" w:cs="宋体"/>
        </w:rPr>
        <w:t>资源开发利用结构布局逐步优化，取得较好效果。与</w:t>
      </w:r>
      <w:r>
        <w:rPr>
          <w:rFonts w:ascii="??_GB2312" w:hAnsi="??_GB2312" w:cs="??_GB2312"/>
        </w:rPr>
        <w:t>2015</w:t>
      </w:r>
      <w:r>
        <w:rPr>
          <w:rFonts w:hint="eastAsia" w:ascii="宋体" w:hAnsi="宋体" w:cs="宋体"/>
        </w:rPr>
        <w:t>年相比，</w:t>
      </w:r>
      <w:r>
        <w:rPr>
          <w:rFonts w:ascii="??_GB2312" w:hAnsi="??_GB2312" w:cs="??_GB2312"/>
        </w:rPr>
        <w:t>2020</w:t>
      </w:r>
      <w:r>
        <w:rPr>
          <w:rFonts w:hint="eastAsia" w:ascii="宋体" w:hAnsi="宋体" w:cs="宋体"/>
        </w:rPr>
        <w:t>年全市矿山数量由</w:t>
      </w:r>
      <w:r>
        <w:rPr>
          <w:rFonts w:ascii="??_GB2312" w:hAnsi="??_GB2312" w:cs="??_GB2312"/>
        </w:rPr>
        <w:t>58</w:t>
      </w:r>
      <w:r>
        <w:rPr>
          <w:rFonts w:hint="eastAsia" w:ascii="宋体" w:hAnsi="宋体" w:cs="宋体"/>
        </w:rPr>
        <w:t>个减少至</w:t>
      </w:r>
      <w:r>
        <w:rPr>
          <w:rFonts w:ascii="??_GB2312" w:hAnsi="??_GB2312" w:cs="??_GB2312"/>
        </w:rPr>
        <w:t>32</w:t>
      </w:r>
      <w:r>
        <w:rPr>
          <w:rFonts w:hint="eastAsia" w:ascii="宋体" w:hAnsi="宋体" w:cs="宋体"/>
        </w:rPr>
        <w:t>个，减少</w:t>
      </w:r>
      <w:r>
        <w:rPr>
          <w:rFonts w:ascii="??_GB2312" w:hAnsi="??_GB2312" w:cs="??_GB2312"/>
        </w:rPr>
        <w:t>45%</w:t>
      </w:r>
      <w:r>
        <w:rPr>
          <w:rFonts w:hint="eastAsia" w:ascii="??_GB2312" w:hAnsi="??_GB2312" w:cs="??_GB2312"/>
          <w:lang w:eastAsia="zh-CN"/>
        </w:rPr>
        <w:t>，</w:t>
      </w:r>
      <w:r>
        <w:rPr>
          <w:rFonts w:hint="eastAsia" w:ascii="宋体" w:hAnsi="宋体" w:cs="宋体"/>
        </w:rPr>
        <w:t>大中型矿山比例由</w:t>
      </w:r>
      <w:r>
        <w:rPr>
          <w:rFonts w:ascii="??_GB2312" w:hAnsi="??_GB2312" w:cs="??_GB2312"/>
        </w:rPr>
        <w:t>8%</w:t>
      </w:r>
      <w:r>
        <w:rPr>
          <w:rFonts w:hint="eastAsia" w:ascii="宋体" w:hAnsi="宋体" w:cs="宋体"/>
        </w:rPr>
        <w:t>提高到</w:t>
      </w:r>
      <w:r>
        <w:rPr>
          <w:rFonts w:ascii="??_GB2312" w:hAnsi="??_GB2312" w:cs="??_GB2312"/>
        </w:rPr>
        <w:t>21.8%</w:t>
      </w:r>
      <w:r>
        <w:rPr>
          <w:rFonts w:hint="eastAsia" w:ascii="宋体" w:hAnsi="宋体" w:cs="宋体"/>
        </w:rPr>
        <w:t>。</w:t>
      </w:r>
    </w:p>
    <w:p>
      <w:pPr>
        <w:spacing w:line="500" w:lineRule="exact"/>
        <w:ind w:firstLine="562"/>
        <w:rPr>
          <w:rFonts w:ascii="??_GB2312" w:hAnsi="??_GB2312" w:cs="??_GB2312"/>
        </w:rPr>
      </w:pPr>
      <w:r>
        <w:rPr>
          <w:rFonts w:hint="eastAsia" w:ascii="宋体" w:hAnsi="宋体" w:cs="宋体"/>
          <w:b/>
          <w:bCs/>
        </w:rPr>
        <w:t>矿山地质环境保护与治理效果显著。</w:t>
      </w:r>
      <w:r>
        <w:rPr>
          <w:rFonts w:hint="eastAsia" w:ascii="宋体" w:hAnsi="宋体" w:cs="宋体"/>
        </w:rPr>
        <w:t>积极开展矿山地质环境保护与治理恢复工作。完成环境恢复治理项目</w:t>
      </w:r>
      <w:r>
        <w:rPr>
          <w:rFonts w:ascii="??_GB2312" w:hAnsi="??_GB2312" w:cs="??_GB2312"/>
        </w:rPr>
        <w:t>16</w:t>
      </w:r>
      <w:r>
        <w:rPr>
          <w:rFonts w:hint="eastAsia" w:ascii="宋体" w:hAnsi="宋体" w:cs="宋体"/>
        </w:rPr>
        <w:t>个，治理面积</w:t>
      </w:r>
      <w:r>
        <w:rPr>
          <w:rFonts w:ascii="??_GB2312" w:hAnsi="??_GB2312" w:cs="??_GB2312"/>
        </w:rPr>
        <w:t>572.97</w:t>
      </w:r>
      <w:r>
        <w:rPr>
          <w:rFonts w:hint="eastAsia" w:ascii="宋体" w:hAnsi="宋体" w:cs="宋体"/>
        </w:rPr>
        <w:t>公顷</w:t>
      </w:r>
      <w:r>
        <w:rPr>
          <w:rFonts w:hint="eastAsia" w:ascii="宋体" w:hAnsi="宋体" w:cs="宋体"/>
          <w:lang w:eastAsia="zh-CN"/>
        </w:rPr>
        <w:t>，</w:t>
      </w:r>
      <w:r>
        <w:rPr>
          <w:rFonts w:hint="eastAsia" w:ascii="宋体" w:hAnsi="宋体" w:cs="宋体"/>
        </w:rPr>
        <w:t>累计使用资金</w:t>
      </w:r>
      <w:r>
        <w:rPr>
          <w:rFonts w:ascii="??_GB2312" w:hAnsi="??_GB2312" w:cs="??_GB2312"/>
        </w:rPr>
        <w:t>8037.28</w:t>
      </w:r>
      <w:r>
        <w:rPr>
          <w:rFonts w:hint="eastAsia" w:ascii="宋体" w:hAnsi="宋体" w:cs="宋体"/>
        </w:rPr>
        <w:t>万元。</w:t>
      </w:r>
    </w:p>
    <w:p>
      <w:pPr>
        <w:spacing w:line="500" w:lineRule="exact"/>
        <w:ind w:firstLine="562"/>
        <w:rPr>
          <w:rFonts w:ascii="??_GB2312" w:hAnsi="??_GB2312" w:cs="??_GB2312"/>
        </w:rPr>
      </w:pPr>
      <w:r>
        <w:rPr>
          <w:rFonts w:hint="eastAsia" w:ascii="宋体" w:hAnsi="宋体" w:cs="宋体"/>
          <w:b/>
          <w:bCs/>
        </w:rPr>
        <w:t>绿色矿山建设稳步推进。</w:t>
      </w:r>
      <w:r>
        <w:rPr>
          <w:rFonts w:hint="eastAsia" w:ascii="宋体" w:hAnsi="宋体" w:cs="宋体"/>
        </w:rPr>
        <w:t>伊通满族自治县列入国家级绿色矿业发展示范区，四平昊融银业有限公司四平银矿列入全国绿色矿山名录，另有</w:t>
      </w:r>
      <w:r>
        <w:rPr>
          <w:rFonts w:ascii="??_GB2312" w:hAnsi="??_GB2312" w:cs="??_GB2312"/>
        </w:rPr>
        <w:t>2</w:t>
      </w:r>
      <w:r>
        <w:rPr>
          <w:rFonts w:hint="eastAsia" w:ascii="宋体" w:hAnsi="宋体" w:cs="宋体"/>
        </w:rPr>
        <w:t>家矿山企业正组织相关材料积极申报绿色矿山。</w:t>
      </w:r>
    </w:p>
    <w:p>
      <w:pPr>
        <w:spacing w:line="500" w:lineRule="exact"/>
        <w:ind w:firstLine="562"/>
        <w:rPr>
          <w:rFonts w:ascii="??_GB2312" w:hAnsi="??_GB2312" w:cs="??_GB2312"/>
        </w:rPr>
      </w:pPr>
      <w:r>
        <w:rPr>
          <w:rFonts w:hint="eastAsia" w:ascii="宋体" w:hAnsi="宋体" w:cs="宋体"/>
          <w:b/>
          <w:bCs/>
        </w:rPr>
        <w:t>创新工作管理方式。</w:t>
      </w:r>
      <w:r>
        <w:rPr>
          <w:rFonts w:hint="eastAsia" w:ascii="宋体" w:hAnsi="宋体" w:cs="宋体"/>
        </w:rPr>
        <w:t>全面实现矿业权有偿使用和竞争性出让，矿产资源市场化配置进一步加强。开展年度矿山储量动态监测工作，深化</w:t>
      </w:r>
      <w:r>
        <w:rPr>
          <w:rFonts w:ascii="??_GB2312" w:hAnsi="??_GB2312" w:cs="??_GB2312"/>
        </w:rPr>
        <w:t>“</w:t>
      </w:r>
      <w:r>
        <w:rPr>
          <w:rFonts w:hint="eastAsia" w:ascii="宋体" w:hAnsi="宋体" w:cs="宋体"/>
        </w:rPr>
        <w:t>放管服</w:t>
      </w:r>
      <w:r>
        <w:rPr>
          <w:rFonts w:ascii="??_GB2312" w:hAnsi="??_GB2312" w:cs="??_GB2312"/>
        </w:rPr>
        <w:t>”</w:t>
      </w:r>
      <w:r>
        <w:rPr>
          <w:rFonts w:hint="eastAsia" w:ascii="宋体" w:hAnsi="宋体" w:cs="宋体"/>
        </w:rPr>
        <w:t>改革，开展矿业权信息公示工作，实行</w:t>
      </w:r>
      <w:r>
        <w:rPr>
          <w:rFonts w:ascii="??_GB2312" w:hAnsi="??_GB2312" w:cs="??_GB2312"/>
        </w:rPr>
        <w:t>“</w:t>
      </w:r>
      <w:r>
        <w:rPr>
          <w:rFonts w:hint="eastAsia" w:ascii="宋体" w:hAnsi="宋体" w:cs="宋体"/>
        </w:rPr>
        <w:t>双随机，一公开</w:t>
      </w:r>
      <w:r>
        <w:rPr>
          <w:rFonts w:ascii="??_GB2312" w:hAnsi="??_GB2312" w:cs="??_GB2312"/>
        </w:rPr>
        <w:t>”</w:t>
      </w:r>
      <w:r>
        <w:rPr>
          <w:rFonts w:hint="eastAsia" w:ascii="宋体" w:hAnsi="宋体" w:cs="宋体"/>
        </w:rPr>
        <w:t>监管制度，进一步规范矿产资源开发秩序。</w:t>
      </w:r>
    </w:p>
    <w:p>
      <w:pPr>
        <w:spacing w:line="500" w:lineRule="exact"/>
        <w:ind w:firstLine="562"/>
        <w:rPr>
          <w:rFonts w:ascii="??_GB2312" w:hAnsi="??_GB2312" w:cs="??_GB2312"/>
          <w:b/>
          <w:bCs/>
        </w:rPr>
      </w:pPr>
      <w:r>
        <w:rPr>
          <w:rFonts w:hint="eastAsia" w:ascii="宋体" w:hAnsi="宋体" w:cs="宋体"/>
          <w:b/>
          <w:bCs/>
        </w:rPr>
        <w:t>五、矿产资源勘查开发利用与保护现状</w:t>
      </w:r>
    </w:p>
    <w:p>
      <w:pPr>
        <w:spacing w:line="500" w:lineRule="exact"/>
        <w:ind w:firstLine="562"/>
        <w:rPr>
          <w:rFonts w:ascii="??_GB2312" w:hAnsi="??_GB2312" w:cs="??_GB2312"/>
          <w:b/>
          <w:bCs/>
        </w:rPr>
      </w:pPr>
      <w:r>
        <w:rPr>
          <w:rFonts w:hint="eastAsia" w:ascii="宋体" w:hAnsi="宋体" w:cs="宋体"/>
          <w:b/>
          <w:bCs/>
        </w:rPr>
        <w:t>（一）矿产资源勘查现状</w:t>
      </w:r>
    </w:p>
    <w:p>
      <w:pPr>
        <w:spacing w:line="500" w:lineRule="exact"/>
        <w:ind w:firstLine="560"/>
        <w:rPr>
          <w:rFonts w:ascii="??_GB2312" w:hAnsi="??_GB2312" w:cs="??_GB2312"/>
        </w:rPr>
      </w:pPr>
      <w:r>
        <w:rPr>
          <w:rFonts w:hint="eastAsia" w:ascii="宋体" w:hAnsi="宋体" w:cs="宋体"/>
        </w:rPr>
        <w:t>截止</w:t>
      </w:r>
      <w:r>
        <w:rPr>
          <w:rFonts w:ascii="??_GB2312" w:hAnsi="??_GB2312" w:cs="??_GB2312"/>
        </w:rPr>
        <w:t>2020</w:t>
      </w:r>
      <w:r>
        <w:rPr>
          <w:rFonts w:hint="eastAsia" w:ascii="宋体" w:hAnsi="宋体" w:cs="宋体"/>
        </w:rPr>
        <w:t>年底，四平市现有探矿权</w:t>
      </w:r>
      <w:r>
        <w:rPr>
          <w:rFonts w:ascii="??_GB2312" w:hAnsi="??_GB2312" w:cs="??_GB2312"/>
        </w:rPr>
        <w:t>12</w:t>
      </w:r>
      <w:r>
        <w:rPr>
          <w:rFonts w:hint="eastAsia" w:ascii="宋体" w:hAnsi="宋体" w:cs="宋体"/>
        </w:rPr>
        <w:t>个，主要分布于伊通县和梨树县。其中能源矿产</w:t>
      </w:r>
      <w:r>
        <w:rPr>
          <w:rFonts w:ascii="??_GB2312" w:hAnsi="??_GB2312" w:cs="??_GB2312"/>
        </w:rPr>
        <w:t>2</w:t>
      </w:r>
      <w:r>
        <w:rPr>
          <w:rFonts w:hint="eastAsia" w:ascii="宋体" w:hAnsi="宋体" w:cs="宋体"/>
        </w:rPr>
        <w:t>个（地热）、金属矿产</w:t>
      </w:r>
      <w:r>
        <w:rPr>
          <w:rFonts w:ascii="??_GB2312" w:hAnsi="??_GB2312" w:cs="??_GB2312"/>
        </w:rPr>
        <w:t>7</w:t>
      </w:r>
      <w:r>
        <w:rPr>
          <w:rFonts w:hint="eastAsia" w:ascii="宋体" w:hAnsi="宋体" w:cs="宋体"/>
        </w:rPr>
        <w:t>个（金</w:t>
      </w:r>
      <w:r>
        <w:rPr>
          <w:rFonts w:ascii="??_GB2312" w:hAnsi="??_GB2312" w:cs="??_GB2312"/>
        </w:rPr>
        <w:t>4</w:t>
      </w:r>
      <w:r>
        <w:rPr>
          <w:rFonts w:hint="eastAsia" w:ascii="宋体" w:hAnsi="宋体" w:cs="宋体"/>
        </w:rPr>
        <w:t>个、银</w:t>
      </w:r>
      <w:r>
        <w:rPr>
          <w:rFonts w:ascii="??_GB2312" w:hAnsi="??_GB2312" w:cs="??_GB2312"/>
        </w:rPr>
        <w:t>1</w:t>
      </w:r>
      <w:r>
        <w:rPr>
          <w:rFonts w:hint="eastAsia" w:ascii="宋体" w:hAnsi="宋体" w:cs="宋体"/>
        </w:rPr>
        <w:t>个、铁</w:t>
      </w:r>
      <w:r>
        <w:rPr>
          <w:rFonts w:ascii="??_GB2312" w:hAnsi="??_GB2312" w:cs="??_GB2312"/>
        </w:rPr>
        <w:t>2</w:t>
      </w:r>
      <w:r>
        <w:rPr>
          <w:rFonts w:hint="eastAsia" w:ascii="宋体" w:hAnsi="宋体" w:cs="宋体"/>
        </w:rPr>
        <w:t>个）、非金属</w:t>
      </w:r>
      <w:r>
        <w:rPr>
          <w:rFonts w:ascii="??_GB2312" w:hAnsi="??_GB2312" w:cs="??_GB2312"/>
        </w:rPr>
        <w:t>2</w:t>
      </w:r>
      <w:r>
        <w:rPr>
          <w:rFonts w:hint="eastAsia" w:ascii="宋体" w:hAnsi="宋体" w:cs="宋体"/>
        </w:rPr>
        <w:t>个（膨润土</w:t>
      </w:r>
      <w:r>
        <w:rPr>
          <w:rFonts w:ascii="??_GB2312" w:hAnsi="??_GB2312" w:cs="??_GB2312"/>
        </w:rPr>
        <w:t>1</w:t>
      </w:r>
      <w:r>
        <w:rPr>
          <w:rFonts w:hint="eastAsia" w:ascii="宋体" w:hAnsi="宋体" w:cs="宋体"/>
        </w:rPr>
        <w:t>个、大理岩</w:t>
      </w:r>
      <w:r>
        <w:rPr>
          <w:rFonts w:ascii="??_GB2312" w:hAnsi="??_GB2312" w:cs="??_GB2312"/>
        </w:rPr>
        <w:t>1</w:t>
      </w:r>
      <w:r>
        <w:rPr>
          <w:rFonts w:hint="eastAsia" w:ascii="宋体" w:hAnsi="宋体" w:cs="宋体"/>
        </w:rPr>
        <w:t>个）、水气矿产</w:t>
      </w:r>
      <w:r>
        <w:rPr>
          <w:rFonts w:ascii="??_GB2312" w:hAnsi="??_GB2312" w:cs="??_GB2312"/>
        </w:rPr>
        <w:t>1</w:t>
      </w:r>
      <w:r>
        <w:rPr>
          <w:rFonts w:hint="eastAsia" w:ascii="宋体" w:hAnsi="宋体" w:cs="宋体"/>
        </w:rPr>
        <w:t>个（矿泉水）。勘查程度达到详查及以上的项目</w:t>
      </w:r>
      <w:r>
        <w:rPr>
          <w:rFonts w:ascii="??_GB2312" w:hAnsi="??_GB2312" w:cs="??_GB2312"/>
        </w:rPr>
        <w:t>7</w:t>
      </w:r>
      <w:r>
        <w:rPr>
          <w:rFonts w:hint="eastAsia" w:ascii="宋体" w:hAnsi="宋体" w:cs="宋体"/>
        </w:rPr>
        <w:t>个，占探矿权数量</w:t>
      </w:r>
      <w:r>
        <w:rPr>
          <w:rFonts w:ascii="??_GB2312" w:hAnsi="??_GB2312" w:cs="??_GB2312"/>
        </w:rPr>
        <w:t>58%</w:t>
      </w:r>
      <w:r>
        <w:rPr>
          <w:rFonts w:hint="eastAsia" w:ascii="宋体" w:hAnsi="宋体" w:cs="宋体"/>
        </w:rPr>
        <w:t>，普查项目</w:t>
      </w:r>
      <w:r>
        <w:rPr>
          <w:rFonts w:ascii="??_GB2312" w:hAnsi="??_GB2312" w:cs="??_GB2312"/>
        </w:rPr>
        <w:t>5</w:t>
      </w:r>
      <w:r>
        <w:rPr>
          <w:rFonts w:hint="eastAsia" w:ascii="宋体" w:hAnsi="宋体" w:cs="宋体"/>
        </w:rPr>
        <w:t>个，占探矿权总数量</w:t>
      </w:r>
      <w:r>
        <w:rPr>
          <w:rFonts w:ascii="??_GB2312" w:hAnsi="??_GB2312" w:cs="??_GB2312"/>
        </w:rPr>
        <w:t>42%</w:t>
      </w:r>
      <w:r>
        <w:rPr>
          <w:rFonts w:hint="eastAsia" w:ascii="宋体" w:hAnsi="宋体" w:cs="宋体"/>
        </w:rPr>
        <w:t>。</w:t>
      </w:r>
    </w:p>
    <w:p>
      <w:pPr>
        <w:spacing w:line="500" w:lineRule="exact"/>
        <w:ind w:firstLine="562"/>
        <w:rPr>
          <w:rFonts w:ascii="??_GB2312" w:hAnsi="??_GB2312" w:cs="??_GB2312"/>
          <w:b/>
          <w:bCs/>
        </w:rPr>
      </w:pPr>
      <w:r>
        <w:rPr>
          <w:rFonts w:hint="eastAsia" w:ascii="宋体" w:hAnsi="宋体" w:cs="宋体"/>
          <w:b/>
          <w:bCs/>
        </w:rPr>
        <w:t>（二）矿产资源开发利用</w:t>
      </w:r>
    </w:p>
    <w:p>
      <w:pPr>
        <w:spacing w:line="500" w:lineRule="exact"/>
        <w:ind w:firstLine="560"/>
        <w:rPr>
          <w:rFonts w:ascii="??_GB2312" w:hAnsi="??_GB2312" w:cs="??_GB2312"/>
        </w:rPr>
      </w:pPr>
      <w:r>
        <w:rPr>
          <w:rFonts w:hint="eastAsia" w:ascii="宋体" w:hAnsi="宋体" w:cs="宋体"/>
        </w:rPr>
        <w:t>截止</w:t>
      </w:r>
      <w:r>
        <w:rPr>
          <w:rFonts w:ascii="??_GB2312" w:hAnsi="??_GB2312" w:cs="??_GB2312"/>
        </w:rPr>
        <w:t>2020</w:t>
      </w:r>
      <w:r>
        <w:rPr>
          <w:rFonts w:hint="eastAsia" w:ascii="宋体" w:hAnsi="宋体" w:cs="宋体"/>
        </w:rPr>
        <w:t>年底，全市有各类矿山</w:t>
      </w:r>
      <w:r>
        <w:rPr>
          <w:rFonts w:ascii="??_GB2312" w:hAnsi="??_GB2312" w:cs="??_GB2312"/>
        </w:rPr>
        <w:t>32</w:t>
      </w:r>
      <w:r>
        <w:rPr>
          <w:rFonts w:hint="eastAsia" w:ascii="宋体" w:hAnsi="宋体" w:cs="宋体"/>
        </w:rPr>
        <w:t>家。按规模划分，大型矿山</w:t>
      </w:r>
      <w:r>
        <w:rPr>
          <w:rFonts w:ascii="??_GB2312" w:hAnsi="??_GB2312" w:cs="??_GB2312"/>
        </w:rPr>
        <w:t>2</w:t>
      </w:r>
      <w:r>
        <w:rPr>
          <w:rFonts w:hint="eastAsia" w:ascii="宋体" w:hAnsi="宋体" w:cs="宋体"/>
        </w:rPr>
        <w:t>家、中型矿山</w:t>
      </w:r>
      <w:r>
        <w:rPr>
          <w:rFonts w:ascii="??_GB2312" w:hAnsi="??_GB2312" w:cs="??_GB2312"/>
        </w:rPr>
        <w:t>5</w:t>
      </w:r>
      <w:r>
        <w:rPr>
          <w:rFonts w:hint="eastAsia" w:ascii="宋体" w:hAnsi="宋体" w:cs="宋体"/>
        </w:rPr>
        <w:t>家、小型矿山</w:t>
      </w:r>
      <w:r>
        <w:rPr>
          <w:rFonts w:ascii="??_GB2312" w:hAnsi="??_GB2312" w:cs="??_GB2312"/>
        </w:rPr>
        <w:t>25</w:t>
      </w:r>
      <w:r>
        <w:rPr>
          <w:rFonts w:hint="eastAsia" w:ascii="宋体" w:hAnsi="宋体" w:cs="宋体"/>
        </w:rPr>
        <w:t>家，大中型矿山比例为</w:t>
      </w:r>
      <w:r>
        <w:rPr>
          <w:rFonts w:ascii="??_GB2312" w:hAnsi="??_GB2312" w:cs="??_GB2312"/>
        </w:rPr>
        <w:t>21.8%</w:t>
      </w:r>
      <w:r>
        <w:rPr>
          <w:rFonts w:hint="eastAsia" w:ascii="宋体" w:hAnsi="宋体" w:cs="宋体"/>
        </w:rPr>
        <w:t>。按经济类型分为股份有限公司</w:t>
      </w:r>
      <w:r>
        <w:rPr>
          <w:rFonts w:ascii="??_GB2312" w:hAnsi="??_GB2312" w:cs="??_GB2312"/>
        </w:rPr>
        <w:t>2</w:t>
      </w:r>
      <w:r>
        <w:rPr>
          <w:rFonts w:hint="eastAsia" w:ascii="宋体" w:hAnsi="宋体" w:cs="宋体"/>
        </w:rPr>
        <w:t>个、私营责任有限公司</w:t>
      </w:r>
      <w:r>
        <w:rPr>
          <w:rFonts w:ascii="??_GB2312" w:hAnsi="??_GB2312" w:cs="??_GB2312"/>
        </w:rPr>
        <w:t>3</w:t>
      </w:r>
      <w:r>
        <w:rPr>
          <w:rFonts w:hint="eastAsia" w:ascii="宋体" w:hAnsi="宋体" w:cs="宋体"/>
        </w:rPr>
        <w:t>个、其他有限责任公司</w:t>
      </w:r>
      <w:r>
        <w:rPr>
          <w:rFonts w:ascii="??_GB2312" w:hAnsi="??_GB2312" w:cs="??_GB2312"/>
        </w:rPr>
        <w:t>15</w:t>
      </w:r>
      <w:r>
        <w:rPr>
          <w:rFonts w:hint="eastAsia" w:ascii="宋体" w:hAnsi="宋体" w:cs="宋体"/>
        </w:rPr>
        <w:t>个、私营独资企业</w:t>
      </w:r>
      <w:r>
        <w:rPr>
          <w:rFonts w:ascii="??_GB2312" w:hAnsi="??_GB2312" w:cs="??_GB2312"/>
        </w:rPr>
        <w:t>12</w:t>
      </w:r>
      <w:r>
        <w:rPr>
          <w:rFonts w:hint="eastAsia" w:ascii="宋体" w:hAnsi="宋体" w:cs="宋体"/>
        </w:rPr>
        <w:t>个。按矿种划分，金</w:t>
      </w:r>
      <w:r>
        <w:rPr>
          <w:rFonts w:ascii="??_GB2312" w:hAnsi="??_GB2312" w:cs="??_GB2312"/>
        </w:rPr>
        <w:t>1</w:t>
      </w:r>
      <w:r>
        <w:rPr>
          <w:rFonts w:hint="eastAsia" w:ascii="宋体" w:hAnsi="宋体" w:cs="宋体"/>
        </w:rPr>
        <w:t>家、银</w:t>
      </w:r>
      <w:r>
        <w:rPr>
          <w:rFonts w:ascii="??_GB2312" w:hAnsi="??_GB2312" w:cs="??_GB2312"/>
        </w:rPr>
        <w:t>1</w:t>
      </w:r>
      <w:r>
        <w:rPr>
          <w:rFonts w:hint="eastAsia" w:ascii="宋体" w:hAnsi="宋体" w:cs="宋体"/>
        </w:rPr>
        <w:t>家、锌</w:t>
      </w:r>
      <w:r>
        <w:rPr>
          <w:rFonts w:ascii="??_GB2312" w:hAnsi="??_GB2312" w:cs="??_GB2312"/>
        </w:rPr>
        <w:t>2</w:t>
      </w:r>
      <w:r>
        <w:rPr>
          <w:rFonts w:hint="eastAsia" w:ascii="宋体" w:hAnsi="宋体" w:cs="宋体"/>
        </w:rPr>
        <w:t>家、水泥用灰岩</w:t>
      </w:r>
      <w:r>
        <w:rPr>
          <w:rFonts w:ascii="??_GB2312" w:hAnsi="??_GB2312" w:cs="??_GB2312"/>
        </w:rPr>
        <w:t>1</w:t>
      </w:r>
      <w:r>
        <w:rPr>
          <w:rFonts w:hint="eastAsia" w:ascii="宋体" w:hAnsi="宋体" w:cs="宋体"/>
        </w:rPr>
        <w:t>家、水泥用凝灰岩</w:t>
      </w:r>
      <w:r>
        <w:rPr>
          <w:rFonts w:ascii="??_GB2312" w:hAnsi="??_GB2312" w:cs="??_GB2312"/>
        </w:rPr>
        <w:t>1</w:t>
      </w:r>
      <w:r>
        <w:rPr>
          <w:rFonts w:hint="eastAsia" w:ascii="宋体" w:hAnsi="宋体" w:cs="宋体"/>
        </w:rPr>
        <w:t>家、水泥用大理岩</w:t>
      </w:r>
      <w:r>
        <w:rPr>
          <w:rFonts w:ascii="??_GB2312" w:hAnsi="??_GB2312" w:cs="??_GB2312"/>
        </w:rPr>
        <w:t>4</w:t>
      </w:r>
      <w:r>
        <w:rPr>
          <w:rFonts w:hint="eastAsia" w:ascii="宋体" w:hAnsi="宋体" w:cs="宋体"/>
        </w:rPr>
        <w:t>家、玻璃用砂</w:t>
      </w:r>
      <w:r>
        <w:rPr>
          <w:rFonts w:ascii="??_GB2312" w:hAnsi="??_GB2312" w:cs="??_GB2312"/>
        </w:rPr>
        <w:t>1</w:t>
      </w:r>
      <w:r>
        <w:rPr>
          <w:rFonts w:hint="eastAsia" w:ascii="宋体" w:hAnsi="宋体" w:cs="宋体"/>
        </w:rPr>
        <w:t>家、方解石</w:t>
      </w:r>
      <w:r>
        <w:rPr>
          <w:rFonts w:ascii="??_GB2312" w:hAnsi="??_GB2312" w:cs="??_GB2312"/>
        </w:rPr>
        <w:t>1</w:t>
      </w:r>
      <w:r>
        <w:rPr>
          <w:rFonts w:hint="eastAsia" w:ascii="宋体" w:hAnsi="宋体" w:cs="宋体"/>
        </w:rPr>
        <w:t>家、硅灰石</w:t>
      </w:r>
      <w:r>
        <w:rPr>
          <w:rFonts w:ascii="??_GB2312" w:hAnsi="??_GB2312" w:cs="??_GB2312"/>
        </w:rPr>
        <w:t>2</w:t>
      </w:r>
      <w:r>
        <w:rPr>
          <w:rFonts w:hint="eastAsia" w:ascii="宋体" w:hAnsi="宋体" w:cs="宋体"/>
        </w:rPr>
        <w:t>家、建筑用安山岩</w:t>
      </w:r>
      <w:r>
        <w:rPr>
          <w:rFonts w:ascii="??_GB2312" w:hAnsi="??_GB2312" w:cs="??_GB2312"/>
        </w:rPr>
        <w:t>3</w:t>
      </w:r>
      <w:r>
        <w:rPr>
          <w:rFonts w:hint="eastAsia" w:ascii="宋体" w:hAnsi="宋体" w:cs="宋体"/>
        </w:rPr>
        <w:t>家、建筑用大理岩</w:t>
      </w:r>
      <w:r>
        <w:rPr>
          <w:rFonts w:ascii="??_GB2312" w:hAnsi="??_GB2312" w:cs="??_GB2312"/>
        </w:rPr>
        <w:t>2</w:t>
      </w:r>
      <w:r>
        <w:rPr>
          <w:rFonts w:hint="eastAsia" w:ascii="宋体" w:hAnsi="宋体" w:cs="宋体"/>
        </w:rPr>
        <w:t>家、建筑用花岗岩</w:t>
      </w:r>
      <w:r>
        <w:rPr>
          <w:rFonts w:ascii="??_GB2312" w:hAnsi="??_GB2312" w:cs="??_GB2312"/>
        </w:rPr>
        <w:t>2</w:t>
      </w:r>
      <w:r>
        <w:rPr>
          <w:rFonts w:hint="eastAsia" w:ascii="宋体" w:hAnsi="宋体" w:cs="宋体"/>
        </w:rPr>
        <w:t>家、建筑用闪长岩</w:t>
      </w:r>
      <w:r>
        <w:rPr>
          <w:rFonts w:ascii="??_GB2312" w:hAnsi="??_GB2312" w:cs="??_GB2312"/>
        </w:rPr>
        <w:t>8</w:t>
      </w:r>
      <w:r>
        <w:rPr>
          <w:rFonts w:hint="eastAsia" w:ascii="宋体" w:hAnsi="宋体" w:cs="宋体"/>
        </w:rPr>
        <w:t>家、建筑用玄武岩</w:t>
      </w:r>
      <w:r>
        <w:rPr>
          <w:rFonts w:ascii="??_GB2312" w:hAnsi="??_GB2312" w:cs="??_GB2312"/>
        </w:rPr>
        <w:t>2</w:t>
      </w:r>
      <w:r>
        <w:rPr>
          <w:rFonts w:hint="eastAsia" w:ascii="宋体" w:hAnsi="宋体" w:cs="宋体"/>
        </w:rPr>
        <w:t>家、矿泉水</w:t>
      </w:r>
      <w:r>
        <w:rPr>
          <w:rFonts w:ascii="??_GB2312" w:hAnsi="??_GB2312" w:cs="??_GB2312"/>
        </w:rPr>
        <w:t>1</w:t>
      </w:r>
      <w:r>
        <w:rPr>
          <w:rFonts w:hint="eastAsia" w:ascii="宋体" w:hAnsi="宋体" w:cs="宋体"/>
        </w:rPr>
        <w:t>家。</w:t>
      </w:r>
    </w:p>
    <w:p>
      <w:pPr>
        <w:spacing w:line="500" w:lineRule="exact"/>
        <w:ind w:firstLine="560"/>
        <w:rPr>
          <w:rFonts w:ascii="??_GB2312" w:hAnsi="??_GB2312" w:cs="??_GB2312"/>
        </w:rPr>
      </w:pPr>
      <w:r>
        <w:rPr>
          <w:rFonts w:ascii="??_GB2312" w:hAnsi="??_GB2312" w:cs="??_GB2312"/>
        </w:rPr>
        <w:t>2020</w:t>
      </w:r>
      <w:r>
        <w:rPr>
          <w:rFonts w:hint="eastAsia" w:ascii="宋体" w:hAnsi="宋体" w:cs="宋体"/>
        </w:rPr>
        <w:t>年，全市正常生产矿山</w:t>
      </w:r>
      <w:r>
        <w:rPr>
          <w:rFonts w:ascii="??_GB2312" w:hAnsi="??_GB2312" w:cs="??_GB2312"/>
        </w:rPr>
        <w:t>13</w:t>
      </w:r>
      <w:r>
        <w:rPr>
          <w:rFonts w:hint="eastAsia" w:ascii="宋体" w:hAnsi="宋体" w:cs="宋体"/>
        </w:rPr>
        <w:t>个，四平矿山从业人数</w:t>
      </w:r>
      <w:r>
        <w:rPr>
          <w:rFonts w:ascii="??_GB2312" w:hAnsi="??_GB2312" w:cs="??_GB2312"/>
        </w:rPr>
        <w:t>955</w:t>
      </w:r>
      <w:r>
        <w:rPr>
          <w:rFonts w:hint="eastAsia" w:ascii="宋体" w:hAnsi="宋体" w:cs="宋体"/>
        </w:rPr>
        <w:t>人，年产矿石量</w:t>
      </w:r>
      <w:r>
        <w:rPr>
          <w:rFonts w:ascii="??_GB2312" w:hAnsi="??_GB2312" w:cs="??_GB2312"/>
        </w:rPr>
        <w:t>386.7</w:t>
      </w:r>
      <w:r>
        <w:rPr>
          <w:rFonts w:hint="eastAsia" w:ascii="宋体" w:hAnsi="宋体" w:cs="宋体"/>
        </w:rPr>
        <w:t>万吨，矿业总产值为</w:t>
      </w:r>
      <w:r>
        <w:rPr>
          <w:rFonts w:ascii="??_GB2312" w:hAnsi="??_GB2312" w:cs="??_GB2312"/>
        </w:rPr>
        <w:t>22887.35</w:t>
      </w:r>
      <w:r>
        <w:rPr>
          <w:rFonts w:hint="eastAsia" w:ascii="宋体" w:hAnsi="宋体" w:cs="宋体"/>
        </w:rPr>
        <w:t>万元，矿业利润总额为</w:t>
      </w:r>
      <w:r>
        <w:rPr>
          <w:rFonts w:ascii="??_GB2312" w:hAnsi="??_GB2312" w:cs="??_GB2312"/>
        </w:rPr>
        <w:t>3427.47</w:t>
      </w:r>
      <w:r>
        <w:rPr>
          <w:rFonts w:hint="eastAsia" w:ascii="宋体" w:hAnsi="宋体" w:cs="宋体"/>
        </w:rPr>
        <w:t>万元。矿业产值居前的矿种依次为建筑用安山岩、硅灰石、建筑用玄武岩、银、水泥用大理岩、建筑用花岗岩、水泥用灰岩、方解石等。其中建筑用</w:t>
      </w:r>
    </w:p>
    <w:p>
      <w:pPr>
        <w:spacing w:line="500" w:lineRule="exact"/>
        <w:ind w:firstLine="0" w:firstLineChars="0"/>
        <w:rPr>
          <w:rFonts w:ascii="??_GB2312" w:hAnsi="??_GB2312" w:cs="??_GB2312"/>
        </w:rPr>
      </w:pPr>
      <w:r>
        <w:rPr>
          <w:rFonts w:hint="eastAsia" w:ascii="宋体" w:hAnsi="宋体" w:cs="宋体"/>
        </w:rPr>
        <w:t>安山岩产值</w:t>
      </w:r>
      <w:r>
        <w:rPr>
          <w:rFonts w:ascii="??_GB2312" w:hAnsi="??_GB2312" w:cs="??_GB2312"/>
        </w:rPr>
        <w:t>8720</w:t>
      </w:r>
      <w:r>
        <w:rPr>
          <w:rFonts w:hint="eastAsia" w:ascii="宋体" w:hAnsi="宋体" w:cs="宋体"/>
        </w:rPr>
        <w:t>万元，占矿业总值</w:t>
      </w:r>
      <w:r>
        <w:rPr>
          <w:rFonts w:ascii="??_GB2312" w:hAnsi="??_GB2312" w:cs="??_GB2312"/>
        </w:rPr>
        <w:t>38%</w:t>
      </w:r>
      <w:r>
        <w:rPr>
          <w:rFonts w:hint="eastAsia" w:ascii="宋体" w:hAnsi="宋体" w:cs="宋体"/>
        </w:rPr>
        <w:t>，硅灰石产值</w:t>
      </w:r>
      <w:r>
        <w:rPr>
          <w:rFonts w:ascii="??_GB2312" w:hAnsi="??_GB2312" w:cs="??_GB2312"/>
        </w:rPr>
        <w:t>5613</w:t>
      </w:r>
      <w:r>
        <w:rPr>
          <w:rFonts w:hint="eastAsia" w:ascii="宋体" w:hAnsi="宋体" w:cs="宋体"/>
        </w:rPr>
        <w:t>万元，占矿业总值</w:t>
      </w:r>
      <w:r>
        <w:rPr>
          <w:rFonts w:ascii="??_GB2312" w:hAnsi="??_GB2312" w:cs="??_GB2312"/>
        </w:rPr>
        <w:t>24%</w:t>
      </w:r>
      <w:r>
        <w:rPr>
          <w:rFonts w:hint="eastAsia" w:ascii="宋体" w:hAnsi="宋体" w:cs="宋体"/>
        </w:rPr>
        <w:t>，建筑用玄武岩产值</w:t>
      </w:r>
      <w:r>
        <w:rPr>
          <w:rFonts w:ascii="??_GB2312" w:hAnsi="??_GB2312" w:cs="??_GB2312"/>
        </w:rPr>
        <w:t>3800</w:t>
      </w:r>
      <w:r>
        <w:rPr>
          <w:rFonts w:hint="eastAsia" w:ascii="宋体" w:hAnsi="宋体" w:cs="宋体"/>
        </w:rPr>
        <w:t>万元，占矿业总值</w:t>
      </w:r>
      <w:r>
        <w:rPr>
          <w:rFonts w:ascii="??_GB2312" w:hAnsi="??_GB2312" w:cs="??_GB2312"/>
        </w:rPr>
        <w:t>16.6%</w:t>
      </w:r>
      <w:r>
        <w:rPr>
          <w:rFonts w:hint="eastAsia" w:ascii="宋体" w:hAnsi="宋体" w:cs="宋体"/>
        </w:rPr>
        <w:t>。</w:t>
      </w:r>
    </w:p>
    <w:p>
      <w:pPr>
        <w:spacing w:line="500" w:lineRule="exact"/>
        <w:ind w:firstLine="562"/>
        <w:rPr>
          <w:rFonts w:ascii="??_GB2312" w:hAnsi="??_GB2312" w:cs="??_GB2312"/>
          <w:b/>
          <w:bCs/>
        </w:rPr>
      </w:pPr>
      <w:r>
        <w:rPr>
          <w:rFonts w:hint="eastAsia" w:ascii="宋体" w:hAnsi="宋体" w:cs="宋体"/>
          <w:b/>
          <w:bCs/>
        </w:rPr>
        <w:t>（三）矿山生态保护现状</w:t>
      </w:r>
    </w:p>
    <w:p>
      <w:pPr>
        <w:spacing w:line="500" w:lineRule="exact"/>
        <w:ind w:firstLine="560"/>
        <w:rPr>
          <w:rFonts w:ascii="??_GB2312" w:hAnsi="??_GB2312" w:cs="??_GB2312"/>
        </w:rPr>
        <w:sectPr>
          <w:footerReference r:id="rId18" w:type="first"/>
          <w:footerReference r:id="rId17" w:type="default"/>
          <w:pgSz w:w="11906" w:h="16838"/>
          <w:pgMar w:top="1418" w:right="1418" w:bottom="1418" w:left="1418" w:header="851" w:footer="567" w:gutter="0"/>
          <w:pgNumType w:start="1"/>
          <w:cols w:space="425" w:num="1"/>
          <w:titlePg/>
          <w:docGrid w:type="lines" w:linePitch="381" w:charSpace="0"/>
        </w:sectPr>
      </w:pPr>
      <w:r>
        <w:rPr>
          <w:rFonts w:hint="eastAsia" w:ascii="宋体" w:hAnsi="宋体" w:cs="宋体"/>
        </w:rPr>
        <w:t>截至</w:t>
      </w:r>
      <w:r>
        <w:rPr>
          <w:rFonts w:ascii="??_GB2312" w:hAnsi="??_GB2312" w:cs="??_GB2312"/>
        </w:rPr>
        <w:t>2020</w:t>
      </w:r>
      <w:r>
        <w:rPr>
          <w:rFonts w:hint="eastAsia" w:ascii="宋体" w:hAnsi="宋体" w:cs="宋体"/>
        </w:rPr>
        <w:t>年底，共完成矿山恢复面积</w:t>
      </w:r>
      <w:r>
        <w:rPr>
          <w:rFonts w:ascii="??_GB2312" w:hAnsi="??_GB2312" w:cs="??_GB2312"/>
        </w:rPr>
        <w:t>833.82</w:t>
      </w:r>
      <w:r>
        <w:rPr>
          <w:rFonts w:hint="eastAsia" w:ascii="宋体" w:hAnsi="宋体" w:cs="宋体"/>
        </w:rPr>
        <w:t>公顷，未恢复面积</w:t>
      </w:r>
      <w:r>
        <w:rPr>
          <w:rFonts w:ascii="??_GB2312" w:hAnsi="??_GB2312" w:cs="??_GB2312"/>
        </w:rPr>
        <w:t>2004.85</w:t>
      </w:r>
      <w:r>
        <w:rPr>
          <w:rFonts w:hint="eastAsia" w:ascii="宋体" w:hAnsi="宋体" w:cs="宋体"/>
        </w:rPr>
        <w:t>公顷，其中有责任主体关闭矿山</w:t>
      </w:r>
      <w:r>
        <w:rPr>
          <w:rFonts w:ascii="??_GB2312" w:hAnsi="??_GB2312" w:cs="??_GB2312"/>
        </w:rPr>
        <w:t>872.94</w:t>
      </w:r>
      <w:r>
        <w:rPr>
          <w:rFonts w:hint="eastAsia" w:ascii="宋体" w:hAnsi="宋体" w:cs="宋体"/>
        </w:rPr>
        <w:t>公顷，无责任主体历史遗留矿山</w:t>
      </w:r>
      <w:r>
        <w:rPr>
          <w:rFonts w:ascii="??_GB2312" w:hAnsi="??_GB2312" w:cs="??_GB2312"/>
        </w:rPr>
        <w:t>1131.91</w:t>
      </w:r>
      <w:r>
        <w:rPr>
          <w:rFonts w:hint="eastAsia" w:ascii="宋体" w:hAnsi="宋体" w:cs="宋体"/>
        </w:rPr>
        <w:t>公顷。</w:t>
      </w:r>
    </w:p>
    <w:p>
      <w:pPr>
        <w:spacing w:line="500" w:lineRule="exact"/>
        <w:ind w:firstLine="562"/>
        <w:rPr>
          <w:rFonts w:ascii="??_GB2312" w:hAnsi="??_GB2312" w:cs="??_GB2312"/>
          <w:b/>
          <w:bCs/>
        </w:rPr>
      </w:pPr>
      <w:r>
        <w:rPr>
          <w:rFonts w:hint="eastAsia" w:ascii="宋体" w:hAnsi="宋体" w:cs="宋体"/>
          <w:b/>
          <w:bCs/>
        </w:rPr>
        <w:t>六、存在的主要问题</w:t>
      </w:r>
    </w:p>
    <w:p>
      <w:pPr>
        <w:spacing w:line="500" w:lineRule="exact"/>
        <w:ind w:firstLine="562"/>
        <w:rPr>
          <w:rFonts w:ascii="??_GB2312" w:hAnsi="??_GB2312" w:cs="??_GB2312"/>
        </w:rPr>
      </w:pPr>
      <w:r>
        <w:rPr>
          <w:rFonts w:hint="eastAsia" w:ascii="宋体" w:hAnsi="宋体" w:cs="宋体"/>
          <w:b/>
          <w:bCs/>
        </w:rPr>
        <w:t>矿产资源保障程度较低。</w:t>
      </w:r>
      <w:r>
        <w:rPr>
          <w:rFonts w:hint="eastAsia" w:ascii="宋体" w:hAnsi="宋体" w:cs="宋体"/>
        </w:rPr>
        <w:t>矿业市场低迷，地质矿产勘查投入逐年减少，矿产勘查工作进展缓慢，除硅灰石、玻璃用砂、水泥用原料（水泥用灰岩、水泥用大理岩）外，其他矿产资源保障程度较低。</w:t>
      </w:r>
    </w:p>
    <w:p>
      <w:pPr>
        <w:spacing w:line="500" w:lineRule="exact"/>
        <w:ind w:firstLine="562"/>
        <w:rPr>
          <w:rFonts w:ascii="??_GB2312" w:hAnsi="??_GB2312" w:cs="??_GB2312"/>
        </w:rPr>
      </w:pPr>
      <w:r>
        <w:rPr>
          <w:rFonts w:hint="eastAsia" w:ascii="宋体" w:hAnsi="宋体" w:cs="宋体"/>
          <w:b/>
          <w:bCs/>
        </w:rPr>
        <w:t>资源开发利用与环境保护的矛盾依然突出。</w:t>
      </w:r>
      <w:r>
        <w:rPr>
          <w:rFonts w:hint="eastAsia" w:ascii="宋体" w:hAnsi="宋体" w:cs="宋体"/>
        </w:rPr>
        <w:t>基础建设、城镇化建设、重大工程建设对矿产资源的需求日益增长。然而受生态文明建设、生态红线划定、基本农田保护等生态环境要求的限制，给矿业权设置及布局调整带来一定的难度。</w:t>
      </w:r>
    </w:p>
    <w:p>
      <w:pPr>
        <w:pStyle w:val="5"/>
        <w:ind w:firstLine="0" w:firstLineChars="0"/>
        <w:rPr>
          <w:rFonts w:ascii="??_GB2312" w:hAnsi="??_GB2312" w:cs="??_GB2312"/>
        </w:rPr>
      </w:pPr>
      <w:bookmarkStart w:id="10" w:name="_Toc109168656"/>
      <w:bookmarkStart w:id="11" w:name="_Toc20443"/>
      <w:bookmarkStart w:id="12" w:name="_Toc109202899"/>
      <w:bookmarkStart w:id="13" w:name="_Toc109168938"/>
      <w:r>
        <w:rPr>
          <w:rFonts w:hint="eastAsia" w:ascii="宋体" w:hAnsi="宋体" w:eastAsia="宋体" w:cs="宋体"/>
        </w:rPr>
        <w:t>第三节</w:t>
      </w:r>
      <w:r>
        <w:rPr>
          <w:rFonts w:ascii="??_GB2312" w:hAnsi="??_GB2312" w:cs="??_GB2312"/>
        </w:rPr>
        <w:t xml:space="preserve"> </w:t>
      </w:r>
      <w:r>
        <w:rPr>
          <w:rFonts w:hint="eastAsia" w:ascii="宋体" w:hAnsi="宋体" w:eastAsia="宋体" w:cs="宋体"/>
        </w:rPr>
        <w:t>形势与要求</w:t>
      </w:r>
      <w:bookmarkEnd w:id="10"/>
      <w:bookmarkEnd w:id="11"/>
      <w:bookmarkEnd w:id="12"/>
      <w:bookmarkEnd w:id="13"/>
    </w:p>
    <w:p>
      <w:pPr>
        <w:spacing w:line="500" w:lineRule="exact"/>
        <w:ind w:firstLine="562"/>
        <w:rPr>
          <w:rFonts w:ascii="??_GB2312" w:hAnsi="??_GB2312" w:cs="??_GB2312"/>
          <w:b/>
          <w:bCs/>
        </w:rPr>
      </w:pPr>
      <w:r>
        <w:rPr>
          <w:rFonts w:hint="eastAsia" w:ascii="宋体" w:hAnsi="宋体" w:cs="宋体"/>
          <w:b/>
          <w:bCs/>
        </w:rPr>
        <w:t>一、形势</w:t>
      </w:r>
    </w:p>
    <w:p>
      <w:pPr>
        <w:spacing w:line="500" w:lineRule="exact"/>
        <w:ind w:firstLine="560"/>
        <w:rPr>
          <w:rFonts w:ascii="??_GB2312" w:hAnsi="??_GB2312" w:cs="??_GB2312"/>
        </w:rPr>
      </w:pPr>
      <w:r>
        <w:rPr>
          <w:rFonts w:ascii="??_GB2312" w:hAnsi="??_GB2312" w:cs="??_GB2312"/>
        </w:rPr>
        <w:t>“</w:t>
      </w:r>
      <w:r>
        <w:rPr>
          <w:rFonts w:hint="eastAsia" w:ascii="宋体" w:hAnsi="宋体" w:cs="宋体"/>
        </w:rPr>
        <w:t>十四五</w:t>
      </w:r>
      <w:r>
        <w:rPr>
          <w:rFonts w:ascii="??_GB2312" w:hAnsi="??_GB2312" w:cs="??_GB2312"/>
        </w:rPr>
        <w:t>”</w:t>
      </w:r>
      <w:r>
        <w:rPr>
          <w:rFonts w:hint="eastAsia" w:ascii="宋体" w:hAnsi="宋体" w:cs="宋体"/>
        </w:rPr>
        <w:t>时期，是国家全面建成小康社会、实现第一个百年奋斗目标之后，乘势而上开启全面建设社会主义现代化国家新征程、向第二个百年奋斗目标进军的第一个五年，是我市经济振兴的关键期。新发展阶段明确了前进方向和目标，即为推动全产业链优化升级、打造新兴产业链、发展战略性新兴产业等方面，提供能源和战略性矿产资源安全保障。未来五年，我市矿业发展既存在着重大战略机遇，也面临着诸多严峻考验，主要表现在碳达峰与碳中和目标及能源安全背景下</w:t>
      </w:r>
      <w:r>
        <w:rPr>
          <w:rFonts w:ascii="??_GB2312" w:hAnsi="??_GB2312" w:cs="??_GB2312"/>
        </w:rPr>
        <w:t>,</w:t>
      </w:r>
      <w:r>
        <w:rPr>
          <w:rFonts w:hint="eastAsia" w:ascii="宋体" w:hAnsi="宋体" w:cs="宋体"/>
        </w:rPr>
        <w:t>对现阶段及未来一段时期矿产资源开发利用提出了更高的要求，生态环境保护对矿产资源勘查开发的约束持续增强。因此，我市面临着矿业领域生态文明建设、高质量发展、全面深化矿产资源管理改革等各项艰巨任务。如何有效提升宏观调控能力和科技创新能力，因地制宜</w:t>
      </w:r>
      <w:r>
        <w:rPr>
          <w:rFonts w:hint="eastAsia" w:ascii="宋体" w:hAnsi="宋体" w:cs="宋体"/>
          <w:color w:val="FF0000"/>
        </w:rPr>
        <w:t>、</w:t>
      </w:r>
      <w:r>
        <w:rPr>
          <w:rFonts w:hint="eastAsia" w:ascii="宋体" w:hAnsi="宋体" w:cs="宋体"/>
        </w:rPr>
        <w:t>切合实际</w:t>
      </w:r>
      <w:r>
        <w:rPr>
          <w:rFonts w:hint="eastAsia" w:ascii="宋体" w:hAnsi="宋体" w:cs="宋体"/>
          <w:color w:val="FF0000"/>
        </w:rPr>
        <w:t>、</w:t>
      </w:r>
      <w:r>
        <w:rPr>
          <w:rFonts w:hint="eastAsia" w:ascii="宋体" w:hAnsi="宋体" w:cs="宋体"/>
        </w:rPr>
        <w:t>创造性地开展矿业工作是全新挑战。</w:t>
      </w:r>
    </w:p>
    <w:p>
      <w:pPr>
        <w:spacing w:line="500" w:lineRule="exact"/>
        <w:ind w:firstLine="562"/>
        <w:rPr>
          <w:rFonts w:ascii="??_GB2312" w:hAnsi="??_GB2312" w:cs="??_GB2312"/>
          <w:b/>
          <w:bCs/>
        </w:rPr>
      </w:pPr>
      <w:r>
        <w:rPr>
          <w:rFonts w:hint="eastAsia" w:ascii="宋体" w:hAnsi="宋体" w:cs="宋体"/>
          <w:b/>
          <w:bCs/>
        </w:rPr>
        <w:t>二、要求</w:t>
      </w:r>
    </w:p>
    <w:p>
      <w:pPr>
        <w:spacing w:line="500" w:lineRule="exact"/>
        <w:ind w:firstLine="560"/>
        <w:rPr>
          <w:rFonts w:ascii="??_GB2312" w:hAnsi="??_GB2312" w:cs="??_GB2312"/>
        </w:rPr>
      </w:pPr>
      <w:r>
        <w:rPr>
          <w:rFonts w:hint="eastAsia" w:ascii="宋体" w:hAnsi="宋体" w:cs="宋体"/>
        </w:rPr>
        <w:t>根据当前矿业发展形势，规划期内我市矿产资源勘查开发坚持统筹谋划、科学布局，正确引导矿业稳步健康发展</w:t>
      </w:r>
      <w:r>
        <w:rPr>
          <w:rFonts w:ascii="??_GB2312" w:hAnsi="??_GB2312" w:cs="??_GB2312"/>
        </w:rPr>
        <w:t>;</w:t>
      </w:r>
      <w:r>
        <w:rPr>
          <w:rFonts w:hint="eastAsia" w:ascii="宋体" w:hAnsi="宋体" w:cs="宋体"/>
        </w:rPr>
        <w:t>加快生态文明建设，注重矿山生态保护修复和矿业绿色发展，实现资源效益、环境效益、经济效益和社会效益的和谐统一</w:t>
      </w:r>
      <w:r>
        <w:rPr>
          <w:rFonts w:hint="eastAsia" w:ascii="??_GB2312" w:hAnsi="??_GB2312" w:cs="??_GB2312"/>
        </w:rPr>
        <w:t>；</w:t>
      </w:r>
      <w:r>
        <w:rPr>
          <w:rFonts w:hint="eastAsia" w:ascii="宋体" w:hAnsi="宋体" w:cs="宋体"/>
        </w:rPr>
        <w:t>全面深化矿产资源管理改革，充分发挥政府的引导作用和市场配置资源的决定作用，促进资源合理利用与保护；加强紧缺矿产的勘查力度，提升资源供给能力</w:t>
      </w:r>
      <w:r>
        <w:rPr>
          <w:rFonts w:hint="eastAsia" w:ascii="??_GB2312" w:hAnsi="??_GB2312" w:cs="??_GB2312"/>
        </w:rPr>
        <w:t>；</w:t>
      </w:r>
      <w:r>
        <w:rPr>
          <w:rFonts w:hint="eastAsia" w:ascii="宋体" w:hAnsi="宋体" w:cs="宋体"/>
        </w:rPr>
        <w:t>鼓励科技创新，提高资源节约、集约利用水平，推进资源利用方式合理转变。</w:t>
      </w:r>
    </w:p>
    <w:p>
      <w:pPr>
        <w:spacing w:line="500" w:lineRule="exact"/>
        <w:ind w:firstLine="560"/>
        <w:rPr>
          <w:rFonts w:ascii="??_GB2312" w:hAnsi="??_GB2312" w:cs="??_GB2312"/>
        </w:rPr>
      </w:pPr>
    </w:p>
    <w:p>
      <w:pPr>
        <w:ind w:firstLine="560"/>
        <w:rPr>
          <w:rFonts w:ascii="??_GB2312" w:hAnsi="??_GB2312" w:cs="??_GB2312"/>
        </w:rPr>
      </w:pPr>
    </w:p>
    <w:p>
      <w:pPr>
        <w:ind w:firstLine="560"/>
        <w:rPr>
          <w:rFonts w:ascii="??_GB2312" w:hAnsi="??_GB2312" w:cs="??_GB2312"/>
        </w:rPr>
      </w:pPr>
    </w:p>
    <w:p>
      <w:pPr>
        <w:ind w:firstLine="560"/>
        <w:rPr>
          <w:rFonts w:ascii="??_GB2312" w:hAnsi="??_GB2312" w:cs="??_GB2312"/>
        </w:rPr>
      </w:pPr>
    </w:p>
    <w:p>
      <w:pPr>
        <w:ind w:firstLine="560"/>
        <w:rPr>
          <w:rFonts w:ascii="??_GB2312" w:hAnsi="??_GB2312" w:cs="??_GB2312"/>
        </w:rPr>
      </w:pPr>
    </w:p>
    <w:p>
      <w:pPr>
        <w:pStyle w:val="4"/>
        <w:ind w:firstLine="723"/>
        <w:rPr>
          <w:rFonts w:ascii="??_GB2312" w:hAnsi="??_GB2312" w:cs="??_GB2312"/>
          <w:sz w:val="36"/>
          <w:szCs w:val="36"/>
        </w:rPr>
      </w:pPr>
      <w:bookmarkStart w:id="14" w:name="_Toc109202900"/>
      <w:bookmarkStart w:id="15" w:name="_Toc109168939"/>
      <w:bookmarkStart w:id="16" w:name="_Toc109168657"/>
      <w:bookmarkStart w:id="17" w:name="_Toc12876"/>
      <w:r>
        <w:rPr>
          <w:rFonts w:hint="eastAsia" w:ascii="宋体" w:hAnsi="宋体" w:eastAsia="宋体" w:cs="宋体"/>
          <w:sz w:val="36"/>
          <w:szCs w:val="36"/>
        </w:rPr>
        <w:t>第二章</w:t>
      </w:r>
      <w:r>
        <w:rPr>
          <w:rFonts w:ascii="??_GB2312" w:hAnsi="??_GB2312" w:cs="??_GB2312"/>
          <w:sz w:val="36"/>
          <w:szCs w:val="36"/>
        </w:rPr>
        <w:t xml:space="preserve"> </w:t>
      </w:r>
      <w:r>
        <w:rPr>
          <w:rFonts w:hint="eastAsia" w:ascii="宋体" w:hAnsi="宋体" w:eastAsia="宋体" w:cs="宋体"/>
          <w:sz w:val="36"/>
          <w:szCs w:val="36"/>
        </w:rPr>
        <w:t>指导原则与目标</w:t>
      </w:r>
      <w:bookmarkEnd w:id="14"/>
      <w:bookmarkEnd w:id="15"/>
      <w:bookmarkEnd w:id="16"/>
      <w:bookmarkEnd w:id="17"/>
    </w:p>
    <w:p>
      <w:pPr>
        <w:pStyle w:val="5"/>
        <w:ind w:firstLine="0" w:firstLineChars="0"/>
        <w:rPr>
          <w:rFonts w:ascii="??_GB2312" w:hAnsi="??_GB2312" w:cs="??_GB2312"/>
        </w:rPr>
      </w:pPr>
      <w:bookmarkStart w:id="18" w:name="_Toc109168940"/>
      <w:bookmarkStart w:id="19" w:name="_Toc109168658"/>
      <w:bookmarkStart w:id="20" w:name="_Toc109202901"/>
      <w:bookmarkStart w:id="21" w:name="_Toc23376"/>
      <w:r>
        <w:rPr>
          <w:rFonts w:hint="eastAsia" w:ascii="宋体" w:hAnsi="宋体" w:eastAsia="宋体" w:cs="宋体"/>
        </w:rPr>
        <w:t>第一节</w:t>
      </w:r>
      <w:r>
        <w:rPr>
          <w:rFonts w:ascii="??_GB2312" w:hAnsi="??_GB2312" w:cs="??_GB2312"/>
        </w:rPr>
        <w:t xml:space="preserve"> </w:t>
      </w:r>
      <w:r>
        <w:rPr>
          <w:rFonts w:hint="eastAsia" w:ascii="宋体" w:hAnsi="宋体" w:eastAsia="宋体" w:cs="宋体"/>
        </w:rPr>
        <w:t>指导思想</w:t>
      </w:r>
      <w:bookmarkEnd w:id="18"/>
      <w:bookmarkEnd w:id="19"/>
      <w:bookmarkEnd w:id="20"/>
      <w:bookmarkEnd w:id="21"/>
    </w:p>
    <w:p>
      <w:pPr>
        <w:spacing w:line="500" w:lineRule="exact"/>
        <w:ind w:firstLine="560"/>
        <w:rPr>
          <w:rFonts w:ascii="??_GB2312" w:hAnsi="??_GB2312" w:cs="??_GB2312"/>
        </w:rPr>
      </w:pPr>
      <w:r>
        <w:rPr>
          <w:rFonts w:hint="eastAsia" w:ascii="宋体" w:hAnsi="宋体" w:cs="宋体"/>
        </w:rPr>
        <w:t>以习近平新时代中国特色社会主义思想为指导，深入贯彻党的十九大和十九届历次全会精神，落实习近平总书记视察吉林重要讲话、重要指示精神，立足新发展阶段，贯彻新发展理念，构建新发展格局。坚决落实市委、市政府决策部署。以提高矿产资源保障能力为目标，以推进矿产资源合理利用与保护为主线，以持续推进绿色发展、转变资源利用方式为中心，统筹安排全市矿产资源勘查开发与保护各项工作。加大对地热等潜在优势矿产资源勘查开发力度，提高硅灰石、水泥用灰岩（大理岩）、建筑用石料等优势矿产的开发利用率，加强矿山生态保护修复和绿色矿山建设，为加快推进四平市全面振兴全方位振兴提供资源保障。</w:t>
      </w:r>
    </w:p>
    <w:p>
      <w:pPr>
        <w:pStyle w:val="5"/>
        <w:ind w:firstLine="0" w:firstLineChars="0"/>
        <w:rPr>
          <w:rFonts w:ascii="??_GB2312" w:hAnsi="??_GB2312" w:cs="??_GB2312"/>
        </w:rPr>
      </w:pPr>
      <w:bookmarkStart w:id="22" w:name="_Toc109202902"/>
      <w:bookmarkStart w:id="23" w:name="_Toc109168941"/>
      <w:bookmarkStart w:id="24" w:name="_Toc109168659"/>
      <w:bookmarkStart w:id="25" w:name="_Toc30315"/>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基本原则</w:t>
      </w:r>
      <w:bookmarkEnd w:id="22"/>
      <w:bookmarkEnd w:id="23"/>
      <w:bookmarkEnd w:id="24"/>
      <w:bookmarkEnd w:id="25"/>
    </w:p>
    <w:p>
      <w:pPr>
        <w:spacing w:line="500" w:lineRule="exact"/>
        <w:ind w:firstLine="562"/>
        <w:rPr>
          <w:rFonts w:ascii="??_GB2312" w:hAnsi="??_GB2312" w:cs="??_GB2312"/>
        </w:rPr>
      </w:pPr>
      <w:r>
        <w:rPr>
          <w:rFonts w:hint="eastAsia" w:ascii="宋体" w:hAnsi="宋体" w:cs="宋体"/>
          <w:b/>
          <w:bCs/>
        </w:rPr>
        <w:t>坚持资源开发与经济发展相结合。</w:t>
      </w:r>
      <w:r>
        <w:rPr>
          <w:rFonts w:hint="eastAsia" w:ascii="宋体" w:hAnsi="宋体" w:cs="宋体"/>
        </w:rPr>
        <w:t>根据矿产资源禀赋条件，结合矿产资源勘查开发实际情况，依托优势资源，统筹规划、合理布局，结合市场对矿产品需求，推动规模以上矿山企业发展，引导和支持生产要素聚集，提高矿业集中度。</w:t>
      </w:r>
    </w:p>
    <w:p>
      <w:pPr>
        <w:spacing w:line="500" w:lineRule="exact"/>
        <w:ind w:firstLine="562"/>
        <w:rPr>
          <w:rFonts w:ascii="??_GB2312" w:hAnsi="??_GB2312" w:cs="??_GB2312"/>
        </w:rPr>
      </w:pPr>
      <w:r>
        <w:rPr>
          <w:rFonts w:hint="eastAsia" w:ascii="宋体" w:hAnsi="宋体" w:cs="宋体"/>
          <w:b/>
          <w:bCs/>
        </w:rPr>
        <w:t>坚持资源保护与合理利用相统一</w:t>
      </w:r>
      <w:r>
        <w:rPr>
          <w:rFonts w:hint="eastAsia" w:ascii="宋体" w:hAnsi="宋体" w:cs="宋体"/>
        </w:rPr>
        <w:t>。鼓励矿山企业开展科技研发和技术改造，提高采矿回采率、选矿回收率、综合利用率，最大限度地利用共伴生矿产和品位低、品级差矿石，将资源保护和节约集约意识贯穿于矿产开发的全过程。</w:t>
      </w:r>
    </w:p>
    <w:p>
      <w:pPr>
        <w:spacing w:line="500" w:lineRule="exact"/>
        <w:ind w:firstLine="562"/>
        <w:rPr>
          <w:rFonts w:ascii="??_GB2312" w:hAnsi="??_GB2312" w:cs="??_GB2312"/>
        </w:rPr>
      </w:pPr>
      <w:r>
        <w:rPr>
          <w:rFonts w:hint="eastAsia" w:ascii="宋体" w:hAnsi="宋体" w:cs="宋体"/>
          <w:b/>
          <w:bCs/>
        </w:rPr>
        <w:t>坚持资源开发与环境保护相协调。</w:t>
      </w:r>
      <w:r>
        <w:rPr>
          <w:rFonts w:hint="eastAsia" w:ascii="宋体" w:hAnsi="宋体" w:cs="宋体"/>
        </w:rPr>
        <w:t>按照建设资源节约型、环境友好型矿业的要求，保护矿山地质环境，发展绿色矿业经济。采取切实措施保护矿山地质环境，将</w:t>
      </w:r>
      <w:r>
        <w:rPr>
          <w:rFonts w:ascii="??_GB2312" w:hAnsi="??_GB2312" w:cs="??_GB2312"/>
        </w:rPr>
        <w:t>“</w:t>
      </w:r>
      <w:r>
        <w:rPr>
          <w:rFonts w:hint="eastAsia" w:ascii="宋体" w:hAnsi="宋体" w:cs="宋体"/>
        </w:rPr>
        <w:t>谁污染谁担责、谁受益谁补偿、谁环保谁获益</w:t>
      </w:r>
      <w:r>
        <w:rPr>
          <w:rFonts w:ascii="??_GB2312" w:hAnsi="??_GB2312" w:cs="??_GB2312"/>
        </w:rPr>
        <w:t>”</w:t>
      </w:r>
      <w:r>
        <w:rPr>
          <w:rFonts w:hint="eastAsia" w:ascii="宋体" w:hAnsi="宋体" w:cs="宋体"/>
        </w:rPr>
        <w:t>落到实处，最大程度的降低矿产资源开发对生态环境的负面影响。</w:t>
      </w:r>
    </w:p>
    <w:p>
      <w:pPr>
        <w:spacing w:line="500" w:lineRule="exact"/>
        <w:ind w:firstLine="562"/>
        <w:rPr>
          <w:rFonts w:ascii="??_GB2312" w:hAnsi="??_GB2312" w:cs="??_GB2312"/>
        </w:rPr>
      </w:pPr>
      <w:r>
        <w:rPr>
          <w:rFonts w:hint="eastAsia" w:ascii="宋体" w:hAnsi="宋体" w:cs="宋体"/>
          <w:b/>
          <w:bCs/>
        </w:rPr>
        <w:t>坚持市场配置与宏观调控相结合。</w:t>
      </w:r>
      <w:r>
        <w:rPr>
          <w:rFonts w:hint="eastAsia" w:ascii="宋体" w:hAnsi="宋体" w:cs="宋体"/>
        </w:rPr>
        <w:t>发挥市场机制在矿产资源配置中的基础性作用，建立宏观调控与市场运作相结合的资源优化配置机制。加强对矿产资源开发总量的调控，提高矿产资源利用率，实现矿业经济的可持续发展。</w:t>
      </w:r>
    </w:p>
    <w:p>
      <w:pPr>
        <w:pStyle w:val="5"/>
        <w:ind w:firstLine="0" w:firstLineChars="0"/>
        <w:rPr>
          <w:rFonts w:ascii="??_GB2312" w:hAnsi="??_GB2312" w:cs="??_GB2312"/>
        </w:rPr>
      </w:pPr>
      <w:bookmarkStart w:id="26" w:name="_Toc3347"/>
      <w:bookmarkStart w:id="27" w:name="_Toc109202903"/>
      <w:bookmarkStart w:id="28" w:name="_Toc109168942"/>
      <w:bookmarkStart w:id="29" w:name="_Toc109168660"/>
      <w:r>
        <w:rPr>
          <w:rFonts w:hint="eastAsia" w:ascii="宋体" w:hAnsi="宋体" w:eastAsia="宋体" w:cs="宋体"/>
        </w:rPr>
        <w:t>第三节</w:t>
      </w:r>
      <w:r>
        <w:rPr>
          <w:rFonts w:ascii="??_GB2312" w:hAnsi="??_GB2312" w:cs="??_GB2312"/>
        </w:rPr>
        <w:t xml:space="preserve"> </w:t>
      </w:r>
      <w:r>
        <w:rPr>
          <w:rFonts w:hint="eastAsia" w:ascii="宋体" w:hAnsi="宋体" w:eastAsia="宋体" w:cs="宋体"/>
        </w:rPr>
        <w:t>规划目标</w:t>
      </w:r>
      <w:bookmarkEnd w:id="26"/>
      <w:bookmarkEnd w:id="27"/>
      <w:bookmarkEnd w:id="28"/>
      <w:bookmarkEnd w:id="29"/>
    </w:p>
    <w:p>
      <w:pPr>
        <w:spacing w:line="500" w:lineRule="exact"/>
        <w:ind w:firstLine="562"/>
        <w:rPr>
          <w:rFonts w:ascii="??_GB2312" w:hAnsi="??_GB2312" w:cs="??_GB2312"/>
          <w:b/>
          <w:bCs/>
        </w:rPr>
      </w:pPr>
      <w:r>
        <w:rPr>
          <w:rFonts w:hint="eastAsia" w:ascii="宋体" w:hAnsi="宋体" w:cs="宋体"/>
          <w:b/>
          <w:bCs/>
        </w:rPr>
        <w:t>一、</w:t>
      </w:r>
      <w:r>
        <w:rPr>
          <w:rFonts w:ascii="??_GB2312" w:hAnsi="??_GB2312" w:cs="??_GB2312"/>
          <w:b/>
          <w:bCs/>
        </w:rPr>
        <w:t>2025</w:t>
      </w:r>
      <w:r>
        <w:rPr>
          <w:rFonts w:hint="eastAsia" w:ascii="宋体" w:hAnsi="宋体" w:cs="宋体"/>
          <w:b/>
          <w:bCs/>
        </w:rPr>
        <w:t>年规划目标</w:t>
      </w:r>
    </w:p>
    <w:p>
      <w:pPr>
        <w:spacing w:line="500" w:lineRule="exact"/>
        <w:ind w:firstLine="562"/>
        <w:rPr>
          <w:rFonts w:ascii="??_GB2312" w:hAnsi="??_GB2312" w:cs="??_GB2312"/>
        </w:rPr>
      </w:pPr>
      <w:r>
        <w:rPr>
          <w:rFonts w:hint="eastAsia" w:ascii="宋体" w:hAnsi="宋体" w:cs="宋体"/>
          <w:b/>
          <w:bCs/>
        </w:rPr>
        <w:t>矿业经济目标。</w:t>
      </w:r>
      <w:r>
        <w:rPr>
          <w:rFonts w:hint="eastAsia" w:ascii="宋体" w:hAnsi="宋体" w:cs="宋体"/>
        </w:rPr>
        <w:t>矿产资源节约与综合利用水平显著提升，矿山企业抵御风险能力有所增强，矿产资源在社会经济发展中的作用得到充分发挥，到</w:t>
      </w:r>
      <w:r>
        <w:rPr>
          <w:rFonts w:ascii="??_GB2312" w:hAnsi="??_GB2312" w:cs="??_GB2312"/>
        </w:rPr>
        <w:t>2025</w:t>
      </w:r>
      <w:r>
        <w:rPr>
          <w:rFonts w:hint="eastAsia" w:ascii="宋体" w:hAnsi="宋体" w:cs="宋体"/>
        </w:rPr>
        <w:t>年全市矿业产值力争达到</w:t>
      </w:r>
      <w:r>
        <w:rPr>
          <w:rFonts w:ascii="??_GB2312" w:hAnsi="??_GB2312" w:cs="??_GB2312"/>
        </w:rPr>
        <w:t>5</w:t>
      </w:r>
      <w:r>
        <w:rPr>
          <w:rFonts w:hint="eastAsia" w:ascii="宋体" w:hAnsi="宋体" w:cs="宋体"/>
        </w:rPr>
        <w:t>亿元（专栏</w:t>
      </w:r>
      <w:r>
        <w:rPr>
          <w:rFonts w:hint="eastAsia" w:ascii="宋体" w:hAnsi="宋体" w:cs="宋体"/>
          <w:lang w:val="en-US" w:eastAsia="zh-CN"/>
        </w:rPr>
        <w:t>2</w:t>
      </w:r>
      <w:r>
        <w:rPr>
          <w:rFonts w:hint="eastAsia" w:ascii="宋体" w:hAnsi="宋体" w:cs="宋体"/>
        </w:rPr>
        <w:t>）。</w:t>
      </w:r>
    </w:p>
    <w:tbl>
      <w:tblPr>
        <w:tblStyle w:val="20"/>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400"/>
        <w:gridCol w:w="1712"/>
        <w:gridCol w:w="1711"/>
        <w:gridCol w:w="1008"/>
        <w:gridCol w:w="15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300" w:type="dxa"/>
            <w:gridSpan w:val="6"/>
            <w:tcBorders>
              <w:top w:val="single" w:color="auto" w:sz="12" w:space="0"/>
            </w:tcBorders>
            <w:shd w:val="clear" w:color="auto" w:fill="auto"/>
            <w:vAlign w:val="center"/>
          </w:tcPr>
          <w:p>
            <w:pPr>
              <w:spacing w:line="240" w:lineRule="auto"/>
              <w:ind w:firstLine="0" w:firstLineChars="0"/>
              <w:rPr>
                <w:rFonts w:ascii="??_GB2312" w:hAnsi="??_GB2312" w:cs="??_GB2312"/>
                <w:kern w:val="0"/>
                <w:sz w:val="21"/>
                <w:szCs w:val="21"/>
              </w:rPr>
            </w:pPr>
            <w:bookmarkStart w:id="30" w:name="_Hlk104195086"/>
            <w:r>
              <w:rPr>
                <w:rFonts w:hint="eastAsia" w:ascii="宋体" w:hAnsi="宋体" w:cs="宋体"/>
                <w:b/>
                <w:bCs/>
                <w:kern w:val="0"/>
                <w:sz w:val="21"/>
                <w:szCs w:val="21"/>
              </w:rPr>
              <w:t>专栏</w:t>
            </w:r>
            <w:r>
              <w:rPr>
                <w:rFonts w:hint="eastAsia" w:ascii="宋体" w:hAnsi="宋体" w:cs="宋体"/>
                <w:b/>
                <w:bCs/>
                <w:kern w:val="0"/>
                <w:sz w:val="21"/>
                <w:szCs w:val="21"/>
                <w:lang w:val="en-US" w:eastAsia="zh-CN"/>
              </w:rPr>
              <w:t>2</w:t>
            </w:r>
            <w:r>
              <w:rPr>
                <w:rFonts w:ascii="??_GB2312" w:hAnsi="??_GB2312" w:cs="??_GB2312"/>
                <w:b/>
                <w:bCs/>
                <w:kern w:val="0"/>
                <w:sz w:val="21"/>
                <w:szCs w:val="21"/>
              </w:rPr>
              <w:t xml:space="preserve">                        </w:t>
            </w:r>
            <w:r>
              <w:rPr>
                <w:rFonts w:hint="eastAsia" w:ascii="宋体" w:hAnsi="宋体" w:cs="宋体"/>
                <w:b/>
                <w:bCs/>
                <w:kern w:val="0"/>
                <w:sz w:val="21"/>
                <w:szCs w:val="21"/>
              </w:rPr>
              <w:t>四平市规划主要指标（</w:t>
            </w:r>
            <w:r>
              <w:rPr>
                <w:rFonts w:ascii="??_GB2312" w:hAnsi="??_GB2312" w:cs="??_GB2312"/>
                <w:b/>
                <w:bCs/>
                <w:kern w:val="0"/>
                <w:sz w:val="21"/>
                <w:szCs w:val="21"/>
              </w:rPr>
              <w:t>2021-2025</w:t>
            </w:r>
            <w:r>
              <w:rPr>
                <w:rFonts w:hint="eastAsia" w:ascii="宋体" w:hAnsi="宋体" w:cs="宋体"/>
                <w:b/>
                <w:bCs/>
                <w:kern w:val="0"/>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24"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指标类别</w:t>
            </w:r>
          </w:p>
        </w:tc>
        <w:tc>
          <w:tcPr>
            <w:tcW w:w="3112" w:type="dxa"/>
            <w:gridSpan w:val="2"/>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指标名称</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单位</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2025</w:t>
            </w:r>
            <w:r>
              <w:rPr>
                <w:rFonts w:hint="eastAsia" w:ascii="宋体" w:hAnsi="宋体" w:cs="宋体"/>
                <w:kern w:val="0"/>
                <w:sz w:val="21"/>
                <w:szCs w:val="21"/>
              </w:rPr>
              <w:t>年</w:t>
            </w:r>
          </w:p>
        </w:tc>
        <w:tc>
          <w:tcPr>
            <w:tcW w:w="1545"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指标属性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24" w:type="dxa"/>
            <w:vMerge w:val="restart"/>
            <w:shd w:val="clear" w:color="auto" w:fill="auto"/>
            <w:vAlign w:val="center"/>
          </w:tcPr>
          <w:p>
            <w:pPr>
              <w:spacing w:line="240" w:lineRule="auto"/>
              <w:ind w:firstLine="420"/>
              <w:jc w:val="center"/>
              <w:rPr>
                <w:rFonts w:ascii="??_GB2312" w:hAnsi="??_GB2312" w:cs="??_GB2312"/>
                <w:kern w:val="0"/>
                <w:sz w:val="21"/>
                <w:szCs w:val="21"/>
              </w:rPr>
            </w:pPr>
            <w:r>
              <w:rPr>
                <w:rFonts w:hint="eastAsia" w:ascii="宋体" w:hAnsi="宋体" w:cs="宋体"/>
                <w:kern w:val="0"/>
                <w:sz w:val="21"/>
                <w:szCs w:val="21"/>
              </w:rPr>
              <w:t>矿产资源勘查</w:t>
            </w:r>
          </w:p>
        </w:tc>
        <w:tc>
          <w:tcPr>
            <w:tcW w:w="3112" w:type="dxa"/>
            <w:gridSpan w:val="2"/>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矿业经济产值</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亿元</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5</w:t>
            </w:r>
          </w:p>
        </w:tc>
        <w:tc>
          <w:tcPr>
            <w:tcW w:w="1545"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24" w:type="dxa"/>
            <w:vMerge w:val="continue"/>
            <w:shd w:val="clear" w:color="auto" w:fill="auto"/>
            <w:vAlign w:val="center"/>
          </w:tcPr>
          <w:p>
            <w:pPr>
              <w:spacing w:line="240" w:lineRule="auto"/>
              <w:ind w:firstLine="0" w:firstLineChars="0"/>
              <w:jc w:val="center"/>
              <w:rPr>
                <w:rFonts w:ascii="??_GB2312" w:hAnsi="??_GB2312" w:cs="??_GB2312"/>
                <w:kern w:val="0"/>
                <w:sz w:val="21"/>
                <w:szCs w:val="21"/>
              </w:rPr>
            </w:pPr>
          </w:p>
        </w:tc>
        <w:tc>
          <w:tcPr>
            <w:tcW w:w="3112" w:type="dxa"/>
            <w:gridSpan w:val="2"/>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新发现矿产地</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个</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1</w:t>
            </w:r>
          </w:p>
        </w:tc>
        <w:tc>
          <w:tcPr>
            <w:tcW w:w="1545"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24" w:type="dxa"/>
            <w:vMerge w:val="continue"/>
            <w:shd w:val="clear" w:color="auto" w:fill="auto"/>
            <w:vAlign w:val="center"/>
          </w:tcPr>
          <w:p>
            <w:pPr>
              <w:spacing w:line="240" w:lineRule="auto"/>
              <w:ind w:firstLine="0" w:firstLineChars="0"/>
              <w:jc w:val="center"/>
              <w:rPr>
                <w:rFonts w:ascii="??_GB2312" w:hAnsi="??_GB2312" w:cs="??_GB2312"/>
                <w:kern w:val="0"/>
                <w:sz w:val="21"/>
                <w:szCs w:val="21"/>
              </w:rPr>
            </w:pPr>
          </w:p>
        </w:tc>
        <w:tc>
          <w:tcPr>
            <w:tcW w:w="1400"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新增资源量</w:t>
            </w:r>
          </w:p>
        </w:tc>
        <w:tc>
          <w:tcPr>
            <w:tcW w:w="1712"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地热</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兆瓦</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5</w:t>
            </w:r>
          </w:p>
        </w:tc>
        <w:tc>
          <w:tcPr>
            <w:tcW w:w="1545" w:type="dxa"/>
            <w:shd w:val="clear" w:color="auto" w:fill="auto"/>
            <w:vAlign w:val="center"/>
          </w:tcPr>
          <w:p>
            <w:pPr>
              <w:spacing w:line="240" w:lineRule="auto"/>
              <w:ind w:firstLine="0" w:firstLineChars="0"/>
              <w:jc w:val="center"/>
              <w:rPr>
                <w:rFonts w:ascii="??_GB2312" w:hAnsi="??_GB2312" w:cs="??_GB2312"/>
                <w:sz w:val="21"/>
                <w:szCs w:val="21"/>
                <w:highlight w:val="yellow"/>
              </w:rPr>
            </w:pPr>
            <w:r>
              <w:rPr>
                <w:rFonts w:hint="eastAsia" w:ascii="宋体" w:hAnsi="宋体" w:cs="宋体"/>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24" w:type="dxa"/>
            <w:vMerge w:val="restart"/>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矿产资源合理开发利用与保护</w:t>
            </w:r>
          </w:p>
        </w:tc>
        <w:tc>
          <w:tcPr>
            <w:tcW w:w="1400" w:type="dxa"/>
            <w:vMerge w:val="restart"/>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重要矿产资源年开采量</w:t>
            </w:r>
          </w:p>
        </w:tc>
        <w:tc>
          <w:tcPr>
            <w:tcW w:w="1712"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硅灰石</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矿石万吨</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20</w:t>
            </w:r>
          </w:p>
        </w:tc>
        <w:tc>
          <w:tcPr>
            <w:tcW w:w="1545"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924" w:type="dxa"/>
            <w:vMerge w:val="continue"/>
            <w:shd w:val="clear" w:color="auto" w:fill="auto"/>
            <w:vAlign w:val="center"/>
          </w:tcPr>
          <w:p>
            <w:pPr>
              <w:spacing w:line="240" w:lineRule="auto"/>
              <w:ind w:firstLine="0" w:firstLineChars="0"/>
              <w:jc w:val="center"/>
              <w:rPr>
                <w:rFonts w:ascii="??_GB2312" w:hAnsi="??_GB2312" w:cs="??_GB2312"/>
                <w:kern w:val="0"/>
                <w:sz w:val="21"/>
                <w:szCs w:val="21"/>
              </w:rPr>
            </w:pPr>
          </w:p>
        </w:tc>
        <w:tc>
          <w:tcPr>
            <w:tcW w:w="1400" w:type="dxa"/>
            <w:vMerge w:val="continue"/>
            <w:shd w:val="clear" w:color="auto" w:fill="auto"/>
            <w:vAlign w:val="center"/>
          </w:tcPr>
          <w:p>
            <w:pPr>
              <w:spacing w:line="240" w:lineRule="auto"/>
              <w:ind w:firstLine="0" w:firstLineChars="0"/>
              <w:jc w:val="center"/>
              <w:rPr>
                <w:rFonts w:ascii="??_GB2312" w:hAnsi="??_GB2312" w:cs="??_GB2312"/>
                <w:kern w:val="0"/>
                <w:sz w:val="21"/>
                <w:szCs w:val="21"/>
              </w:rPr>
            </w:pPr>
          </w:p>
        </w:tc>
        <w:tc>
          <w:tcPr>
            <w:tcW w:w="1712"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水泥用灰岩</w:t>
            </w:r>
          </w:p>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（大理岩）</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矿石万吨</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300</w:t>
            </w:r>
          </w:p>
        </w:tc>
        <w:tc>
          <w:tcPr>
            <w:tcW w:w="1545"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24" w:type="dxa"/>
            <w:vMerge w:val="continue"/>
            <w:shd w:val="clear" w:color="auto" w:fill="auto"/>
            <w:vAlign w:val="center"/>
          </w:tcPr>
          <w:p>
            <w:pPr>
              <w:spacing w:line="240" w:lineRule="auto"/>
              <w:ind w:firstLine="0" w:firstLineChars="0"/>
              <w:jc w:val="center"/>
              <w:rPr>
                <w:rFonts w:ascii="??_GB2312" w:hAnsi="??_GB2312" w:cs="??_GB2312"/>
                <w:kern w:val="0"/>
                <w:sz w:val="21"/>
                <w:szCs w:val="21"/>
              </w:rPr>
            </w:pPr>
          </w:p>
        </w:tc>
        <w:tc>
          <w:tcPr>
            <w:tcW w:w="3112" w:type="dxa"/>
            <w:gridSpan w:val="2"/>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矿山数量</w:t>
            </w:r>
          </w:p>
        </w:tc>
        <w:tc>
          <w:tcPr>
            <w:tcW w:w="1711"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个</w:t>
            </w:r>
          </w:p>
        </w:tc>
        <w:tc>
          <w:tcPr>
            <w:tcW w:w="1008"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45</w:t>
            </w:r>
          </w:p>
        </w:tc>
        <w:tc>
          <w:tcPr>
            <w:tcW w:w="1545"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4" w:type="dxa"/>
            <w:vMerge w:val="continue"/>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p>
        </w:tc>
        <w:tc>
          <w:tcPr>
            <w:tcW w:w="3112" w:type="dxa"/>
            <w:gridSpan w:val="2"/>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大中型矿山比例</w:t>
            </w:r>
          </w:p>
        </w:tc>
        <w:tc>
          <w:tcPr>
            <w:tcW w:w="1711" w:type="dxa"/>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w:t>
            </w:r>
          </w:p>
        </w:tc>
        <w:tc>
          <w:tcPr>
            <w:tcW w:w="1008" w:type="dxa"/>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50</w:t>
            </w:r>
          </w:p>
        </w:tc>
        <w:tc>
          <w:tcPr>
            <w:tcW w:w="1545" w:type="dxa"/>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预期性</w:t>
            </w:r>
          </w:p>
        </w:tc>
      </w:tr>
      <w:bookmarkEnd w:id="30"/>
    </w:tbl>
    <w:p>
      <w:pPr>
        <w:spacing w:line="500" w:lineRule="exact"/>
        <w:ind w:firstLine="562"/>
        <w:rPr>
          <w:rFonts w:ascii="??_GB2312" w:hAnsi="??_GB2312" w:cs="??_GB2312"/>
        </w:rPr>
      </w:pPr>
      <w:r>
        <w:rPr>
          <w:rFonts w:hint="eastAsia" w:ascii="宋体" w:hAnsi="宋体" w:cs="宋体"/>
          <w:b/>
          <w:bCs/>
        </w:rPr>
        <w:t>矿产资源勘查目标。</w:t>
      </w:r>
      <w:r>
        <w:rPr>
          <w:rFonts w:hint="eastAsia" w:ascii="宋体" w:hAnsi="宋体" w:cs="宋体"/>
        </w:rPr>
        <w:t>加大煤、地热、金等矿产勘查力度，力争发现可供开发的矿产地</w:t>
      </w:r>
      <w:r>
        <w:rPr>
          <w:rFonts w:ascii="??_GB2312" w:hAnsi="??_GB2312" w:cs="??_GB2312"/>
        </w:rPr>
        <w:t>1</w:t>
      </w:r>
      <w:r>
        <w:rPr>
          <w:rFonts w:hint="eastAsia" w:ascii="宋体" w:hAnsi="宋体" w:cs="宋体"/>
        </w:rPr>
        <w:t>处，提高资源保障和供给能力。</w:t>
      </w:r>
    </w:p>
    <w:p>
      <w:pPr>
        <w:spacing w:line="500" w:lineRule="exact"/>
        <w:ind w:firstLine="562"/>
        <w:rPr>
          <w:rFonts w:ascii="??_GB2312" w:hAnsi="??_GB2312" w:cs="??_GB2312"/>
        </w:rPr>
      </w:pPr>
      <w:r>
        <w:rPr>
          <w:rFonts w:hint="eastAsia" w:ascii="宋体" w:hAnsi="宋体" w:cs="宋体"/>
          <w:b/>
          <w:bCs/>
        </w:rPr>
        <w:t>开发利用与保护目标。</w:t>
      </w:r>
      <w:r>
        <w:rPr>
          <w:rFonts w:hint="eastAsia" w:ascii="宋体" w:hAnsi="宋体" w:cs="宋体"/>
          <w:kern w:val="44"/>
        </w:rPr>
        <w:t>有效控制全市矿山总量，</w:t>
      </w:r>
      <w:r>
        <w:rPr>
          <w:rFonts w:hint="eastAsia" w:ascii="宋体" w:hAnsi="宋体" w:cs="宋体"/>
        </w:rPr>
        <w:t>到</w:t>
      </w:r>
      <w:r>
        <w:rPr>
          <w:rFonts w:ascii="??_GB2312" w:hAnsi="??_GB2312" w:cs="??_GB2312"/>
        </w:rPr>
        <w:t>2025</w:t>
      </w:r>
      <w:r>
        <w:rPr>
          <w:rFonts w:hint="eastAsia" w:ascii="宋体" w:hAnsi="宋体" w:cs="宋体"/>
        </w:rPr>
        <w:t>年全市矿山数量控制在</w:t>
      </w:r>
      <w:r>
        <w:rPr>
          <w:rFonts w:ascii="??_GB2312" w:hAnsi="??_GB2312" w:cs="??_GB2312"/>
        </w:rPr>
        <w:t>45</w:t>
      </w:r>
      <w:r>
        <w:rPr>
          <w:rFonts w:hint="eastAsia" w:ascii="宋体" w:hAnsi="宋体" w:cs="宋体"/>
        </w:rPr>
        <w:t>个以内，其中硅灰石数量控制在</w:t>
      </w:r>
      <w:r>
        <w:rPr>
          <w:rFonts w:ascii="??_GB2312" w:hAnsi="??_GB2312" w:cs="??_GB2312"/>
        </w:rPr>
        <w:t>2</w:t>
      </w:r>
      <w:r>
        <w:rPr>
          <w:rFonts w:hint="eastAsia" w:ascii="宋体" w:hAnsi="宋体" w:cs="宋体"/>
        </w:rPr>
        <w:t>个以内，水泥用灰岩（大理岩）矿山控制在</w:t>
      </w:r>
      <w:r>
        <w:rPr>
          <w:rFonts w:ascii="??_GB2312" w:hAnsi="??_GB2312" w:cs="??_GB2312"/>
        </w:rPr>
        <w:t>7</w:t>
      </w:r>
      <w:r>
        <w:rPr>
          <w:rFonts w:hint="eastAsia" w:ascii="宋体" w:hAnsi="宋体" w:cs="宋体"/>
        </w:rPr>
        <w:t>个以内，建筑用石料矿山控制在</w:t>
      </w:r>
      <w:r>
        <w:rPr>
          <w:rFonts w:ascii="??_GB2312" w:hAnsi="??_GB2312" w:cs="??_GB2312"/>
        </w:rPr>
        <w:t>24</w:t>
      </w:r>
      <w:r>
        <w:rPr>
          <w:rFonts w:hint="eastAsia" w:ascii="宋体" w:hAnsi="宋体" w:cs="宋体"/>
        </w:rPr>
        <w:t>个以内。通过对矿山总量的有效控制，全市矿山资源开发布局和资源利用水平显著提高。到</w:t>
      </w:r>
      <w:r>
        <w:rPr>
          <w:rFonts w:ascii="??_GB2312" w:hAnsi="??_GB2312" w:cs="??_GB2312"/>
        </w:rPr>
        <w:t>2025</w:t>
      </w:r>
      <w:r>
        <w:rPr>
          <w:rFonts w:hint="eastAsia" w:ascii="宋体" w:hAnsi="宋体" w:cs="宋体"/>
        </w:rPr>
        <w:t>年全市大中型矿山比例不低于</w:t>
      </w:r>
      <w:r>
        <w:rPr>
          <w:rFonts w:ascii="??_GB2312" w:hAnsi="??_GB2312" w:cs="??_GB2312"/>
        </w:rPr>
        <w:t>50%</w:t>
      </w:r>
      <w:r>
        <w:rPr>
          <w:rFonts w:hint="eastAsia" w:ascii="宋体" w:hAnsi="宋体" w:cs="宋体"/>
        </w:rPr>
        <w:t>，矿山规模化集约化程度进一步提高。</w:t>
      </w:r>
    </w:p>
    <w:p>
      <w:pPr>
        <w:spacing w:line="500" w:lineRule="exact"/>
        <w:ind w:firstLine="562"/>
        <w:rPr>
          <w:rFonts w:ascii="??_GB2312" w:hAnsi="??_GB2312" w:cs="??_GB2312"/>
          <w:kern w:val="44"/>
        </w:rPr>
      </w:pPr>
      <w:r>
        <w:rPr>
          <w:rFonts w:hint="eastAsia" w:ascii="宋体" w:hAnsi="宋体" w:cs="宋体"/>
          <w:b/>
          <w:bCs/>
        </w:rPr>
        <w:t>绿色矿山建设与矿区生态保护修复目标。</w:t>
      </w:r>
      <w:r>
        <w:rPr>
          <w:rFonts w:hint="eastAsia" w:ascii="宋体" w:hAnsi="宋体" w:cs="宋体"/>
          <w:kern w:val="44"/>
        </w:rPr>
        <w:t>生产矿区生态环境得以有效保护，闭坑矿山全部按规定完成闭坑后的环境恢复治理与土地复垦任务。</w:t>
      </w:r>
    </w:p>
    <w:p>
      <w:pPr>
        <w:spacing w:line="500" w:lineRule="exact"/>
        <w:ind w:firstLine="562"/>
        <w:rPr>
          <w:rFonts w:ascii="??_GB2312" w:hAnsi="??_GB2312" w:cs="??_GB2312"/>
          <w:b/>
          <w:bCs/>
        </w:rPr>
      </w:pPr>
      <w:r>
        <w:rPr>
          <w:rFonts w:hint="eastAsia" w:ascii="宋体" w:hAnsi="宋体" w:cs="宋体"/>
          <w:b/>
          <w:bCs/>
        </w:rPr>
        <w:t>二、</w:t>
      </w:r>
      <w:r>
        <w:rPr>
          <w:rFonts w:ascii="??_GB2312" w:hAnsi="??_GB2312" w:cs="??_GB2312"/>
          <w:b/>
          <w:bCs/>
        </w:rPr>
        <w:t>2035</w:t>
      </w:r>
      <w:r>
        <w:rPr>
          <w:rFonts w:hint="eastAsia" w:ascii="宋体" w:hAnsi="宋体" w:cs="宋体"/>
          <w:b/>
          <w:bCs/>
        </w:rPr>
        <w:t>年展望目标</w:t>
      </w:r>
    </w:p>
    <w:p>
      <w:pPr>
        <w:tabs>
          <w:tab w:val="left" w:pos="426"/>
        </w:tabs>
        <w:spacing w:line="500" w:lineRule="exact"/>
        <w:ind w:firstLine="560"/>
        <w:rPr>
          <w:rFonts w:ascii="??_GB2312" w:hAnsi="??_GB2312" w:cs="??_GB2312"/>
          <w:kern w:val="44"/>
        </w:rPr>
      </w:pPr>
      <w:r>
        <w:rPr>
          <w:rFonts w:hint="eastAsia" w:ascii="宋体" w:hAnsi="宋体" w:cs="宋体"/>
          <w:kern w:val="44"/>
        </w:rPr>
        <w:t>矿产资源勘查开发布局更加合理，矿业结构进一步优化。全面实现矿山企业规模化集约化开发，进一步转变利用方式，提质增效，加强科技研发、高效利用，实现矿业经济高质量发展。进一步加强矿区生态保护修复治理工作，实现</w:t>
      </w:r>
      <w:r>
        <w:rPr>
          <w:rFonts w:ascii="??_GB2312" w:hAnsi="??_GB2312" w:cs="??_GB2312"/>
          <w:kern w:val="44"/>
        </w:rPr>
        <w:t>“</w:t>
      </w:r>
      <w:r>
        <w:rPr>
          <w:rFonts w:hint="eastAsia" w:ascii="宋体" w:hAnsi="宋体" w:cs="宋体"/>
          <w:kern w:val="44"/>
        </w:rPr>
        <w:t>环境友好型矿业</w:t>
      </w:r>
      <w:r>
        <w:rPr>
          <w:rFonts w:ascii="??_GB2312" w:hAnsi="??_GB2312" w:cs="??_GB2312"/>
          <w:kern w:val="44"/>
        </w:rPr>
        <w:t>”</w:t>
      </w:r>
      <w:r>
        <w:rPr>
          <w:rFonts w:hint="eastAsia" w:ascii="宋体" w:hAnsi="宋体" w:cs="宋体"/>
          <w:kern w:val="44"/>
        </w:rPr>
        <w:t>格局。全面实现矿产资源管理现代化，形成管理有规、市场有序、开发有责、调控有效、监督有力的矿产资源管理新局面。</w:t>
      </w: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tabs>
          <w:tab w:val="left" w:pos="426"/>
        </w:tabs>
        <w:spacing w:line="500" w:lineRule="exact"/>
        <w:ind w:firstLine="560"/>
        <w:rPr>
          <w:rFonts w:ascii="??_GB2312" w:hAnsi="??_GB2312" w:cs="??_GB2312"/>
          <w:kern w:val="44"/>
        </w:rPr>
      </w:pPr>
    </w:p>
    <w:p>
      <w:pPr>
        <w:pStyle w:val="4"/>
        <w:ind w:firstLine="723"/>
        <w:rPr>
          <w:rFonts w:ascii="??_GB2312" w:hAnsi="??_GB2312" w:cs="??_GB2312"/>
          <w:sz w:val="36"/>
          <w:szCs w:val="36"/>
        </w:rPr>
      </w:pPr>
      <w:bookmarkStart w:id="31" w:name="_Toc20963"/>
      <w:bookmarkStart w:id="32" w:name="_Toc109202904"/>
      <w:bookmarkStart w:id="33" w:name="_Toc109168661"/>
      <w:bookmarkStart w:id="34" w:name="_Toc109168943"/>
      <w:r>
        <w:rPr>
          <w:rFonts w:hint="eastAsia" w:ascii="宋体" w:hAnsi="宋体" w:eastAsia="宋体" w:cs="宋体"/>
          <w:sz w:val="36"/>
          <w:szCs w:val="36"/>
        </w:rPr>
        <w:t>第三章</w:t>
      </w:r>
      <w:r>
        <w:rPr>
          <w:rFonts w:ascii="??_GB2312" w:hAnsi="??_GB2312" w:cs="??_GB2312"/>
          <w:sz w:val="36"/>
          <w:szCs w:val="36"/>
        </w:rPr>
        <w:t xml:space="preserve"> </w:t>
      </w:r>
      <w:r>
        <w:rPr>
          <w:rFonts w:hint="eastAsia" w:ascii="宋体" w:hAnsi="宋体" w:eastAsia="宋体" w:cs="宋体"/>
          <w:sz w:val="36"/>
          <w:szCs w:val="36"/>
        </w:rPr>
        <w:t>矿产勘查开发与保护布局</w:t>
      </w:r>
      <w:bookmarkEnd w:id="31"/>
      <w:bookmarkEnd w:id="32"/>
      <w:bookmarkEnd w:id="33"/>
      <w:bookmarkEnd w:id="34"/>
    </w:p>
    <w:p>
      <w:pPr>
        <w:tabs>
          <w:tab w:val="left" w:pos="426"/>
        </w:tabs>
        <w:spacing w:line="500" w:lineRule="exact"/>
        <w:ind w:firstLine="560"/>
        <w:rPr>
          <w:rFonts w:ascii="??_GB2312" w:hAnsi="??_GB2312" w:cs="??_GB2312"/>
          <w:kern w:val="44"/>
        </w:rPr>
      </w:pPr>
      <w:bookmarkStart w:id="35" w:name="_Toc109168944"/>
      <w:bookmarkStart w:id="36" w:name="_Toc109168662"/>
      <w:bookmarkStart w:id="37" w:name="_Toc109202905"/>
      <w:r>
        <w:rPr>
          <w:rFonts w:hint="eastAsia" w:ascii="宋体" w:hAnsi="宋体" w:cs="宋体"/>
          <w:kern w:val="44"/>
        </w:rPr>
        <w:t>围绕四平市国民经济与社会发展规划目标，以成矿地质条件为基础，综合考虑开采技术条件、区位条件、交通情况和生态环境承载能力，优化矿产资源勘查开发，推进资源综合利用，拓展新型清洁能源矿产资源开发新领域。以主要成矿区带为重点，合理布局，积极引导，加大对战略矿产勘查开发力度，推进绿色矿业，为四平市经济结构性调整及战略转型服务。</w:t>
      </w:r>
    </w:p>
    <w:p>
      <w:pPr>
        <w:pStyle w:val="5"/>
        <w:ind w:firstLine="0" w:firstLineChars="0"/>
        <w:rPr>
          <w:rFonts w:ascii="??_GB2312" w:hAnsi="??_GB2312" w:cs="??_GB2312"/>
        </w:rPr>
      </w:pPr>
      <w:bookmarkStart w:id="38" w:name="_Toc26383"/>
      <w:r>
        <w:rPr>
          <w:rFonts w:hint="eastAsia" w:ascii="宋体" w:hAnsi="宋体" w:eastAsia="宋体" w:cs="宋体"/>
        </w:rPr>
        <w:t>第一节</w:t>
      </w:r>
      <w:r>
        <w:rPr>
          <w:rFonts w:ascii="??_GB2312" w:hAnsi="??_GB2312" w:cs="??_GB2312"/>
        </w:rPr>
        <w:t xml:space="preserve"> </w:t>
      </w:r>
      <w:r>
        <w:rPr>
          <w:rFonts w:hint="eastAsia" w:ascii="宋体" w:hAnsi="宋体" w:eastAsia="宋体" w:cs="宋体"/>
        </w:rPr>
        <w:t>矿产资源勘查开发调控方向</w:t>
      </w:r>
      <w:bookmarkEnd w:id="35"/>
      <w:bookmarkEnd w:id="36"/>
      <w:bookmarkEnd w:id="37"/>
      <w:bookmarkEnd w:id="38"/>
    </w:p>
    <w:p>
      <w:pPr>
        <w:tabs>
          <w:tab w:val="left" w:pos="426"/>
        </w:tabs>
        <w:spacing w:line="500" w:lineRule="exact"/>
        <w:ind w:firstLine="560"/>
        <w:rPr>
          <w:rFonts w:ascii="??_GB2312" w:hAnsi="??_GB2312" w:cs="??_GB2312"/>
          <w:kern w:val="44"/>
        </w:rPr>
      </w:pPr>
      <w:r>
        <w:rPr>
          <w:rFonts w:hint="eastAsia" w:ascii="宋体" w:hAnsi="宋体" w:cs="宋体"/>
          <w:kern w:val="44"/>
        </w:rPr>
        <w:t>落实省规划关于中西部平原区勘查开发区域布局。加强对煤炭、地热、非金属等矿产资源的找矿力度。根据四平市区域成矿地质条件、矿产资源潜力和勘查开发利用现状，重点勘查煤、地热、金等战略性矿产及新型清洁能源矿产。禁止开采可耕地下的砖瓦用粘土。</w:t>
      </w:r>
    </w:p>
    <w:p>
      <w:pPr>
        <w:pStyle w:val="5"/>
        <w:ind w:firstLine="0" w:firstLineChars="0"/>
        <w:rPr>
          <w:rFonts w:ascii="??_GB2312" w:hAnsi="??_GB2312" w:cs="??_GB2312"/>
        </w:rPr>
      </w:pPr>
      <w:bookmarkStart w:id="39" w:name="_Toc17126"/>
      <w:bookmarkStart w:id="40" w:name="_Toc109168663"/>
      <w:bookmarkStart w:id="41" w:name="_Toc109202906"/>
      <w:bookmarkStart w:id="42" w:name="_Toc109168945"/>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矿产资源产业重点发展区域</w:t>
      </w:r>
      <w:bookmarkEnd w:id="39"/>
      <w:bookmarkEnd w:id="40"/>
      <w:bookmarkEnd w:id="41"/>
      <w:bookmarkEnd w:id="42"/>
    </w:p>
    <w:p>
      <w:pPr>
        <w:spacing w:line="500" w:lineRule="exact"/>
        <w:ind w:firstLine="562"/>
        <w:rPr>
          <w:rFonts w:ascii="??_GB2312" w:hAnsi="??_GB2312" w:cs="??_GB2312"/>
        </w:rPr>
      </w:pPr>
      <w:r>
        <w:rPr>
          <w:rFonts w:hint="eastAsia" w:ascii="宋体" w:hAnsi="宋体" w:cs="宋体"/>
          <w:b/>
          <w:bCs/>
        </w:rPr>
        <w:t>重点发展区域布局。</w:t>
      </w:r>
      <w:r>
        <w:rPr>
          <w:rFonts w:hint="eastAsia" w:ascii="宋体" w:hAnsi="宋体" w:cs="宋体"/>
        </w:rPr>
        <w:t>统筹考虑四平市矿产资源禀赋、开发利用条件、环境承载能力和区域产业布局等因素，以伊通县小孤山镇</w:t>
      </w:r>
      <w:r>
        <w:rPr>
          <w:rFonts w:ascii="??_GB2312" w:hAnsi="??_GB2312" w:cs="??_GB2312"/>
          <w:color w:val="FF0000"/>
        </w:rPr>
        <w:t>—</w:t>
      </w:r>
      <w:r>
        <w:rPr>
          <w:rFonts w:hint="eastAsia" w:ascii="宋体" w:hAnsi="宋体" w:cs="宋体"/>
        </w:rPr>
        <w:t>马鞍山乡一带为地热资源产业重点发展区域。借助地热资源发展温泉产业，打造温泉文化、形成以伊通温泉为核心的品牌效应，完善区域市场和产业布局，促进房地产业、旅游业等开发，带动区域经济发展。</w:t>
      </w:r>
    </w:p>
    <w:p>
      <w:pPr>
        <w:spacing w:line="500" w:lineRule="exact"/>
        <w:ind w:firstLine="562"/>
        <w:rPr>
          <w:rFonts w:ascii="??_GB2312" w:hAnsi="??_GB2312" w:cs="??_GB2312"/>
        </w:rPr>
      </w:pPr>
      <w:r>
        <w:rPr>
          <w:rFonts w:hint="eastAsia" w:ascii="宋体" w:hAnsi="宋体" w:cs="宋体"/>
          <w:b/>
          <w:bCs/>
        </w:rPr>
        <w:t>重点发展区域管理措施。</w:t>
      </w:r>
      <w:r>
        <w:rPr>
          <w:rFonts w:hint="eastAsia" w:ascii="宋体" w:hAnsi="宋体" w:cs="宋体"/>
        </w:rPr>
        <w:t>加大对矿产资源产业重点发展区域内矿山企业支持力度，优先资源保障、优先土地供给。推动区域内配套设施建设，积极引导下游企业进驻，形成地热开采应用产业链，促进资源优势转化为经济优势。</w:t>
      </w:r>
    </w:p>
    <w:p>
      <w:pPr>
        <w:pStyle w:val="5"/>
        <w:ind w:firstLine="0" w:firstLineChars="0"/>
        <w:rPr>
          <w:rFonts w:ascii="??_GB2312" w:hAnsi="??_GB2312" w:cs="??_GB2312"/>
        </w:rPr>
      </w:pPr>
      <w:bookmarkStart w:id="43" w:name="_Toc109168664"/>
      <w:bookmarkStart w:id="44" w:name="_Toc19132"/>
      <w:bookmarkStart w:id="45" w:name="_Toc109202907"/>
      <w:bookmarkStart w:id="46" w:name="_Toc109168946"/>
      <w:r>
        <w:rPr>
          <w:rFonts w:hint="eastAsia" w:ascii="宋体" w:hAnsi="宋体" w:eastAsia="宋体" w:cs="宋体"/>
        </w:rPr>
        <w:t>第三节</w:t>
      </w:r>
      <w:r>
        <w:rPr>
          <w:rFonts w:ascii="??_GB2312" w:hAnsi="??_GB2312" w:cs="??_GB2312"/>
        </w:rPr>
        <w:t xml:space="preserve"> </w:t>
      </w:r>
      <w:r>
        <w:rPr>
          <w:rFonts w:hint="eastAsia" w:ascii="宋体" w:hAnsi="宋体" w:eastAsia="宋体" w:cs="宋体"/>
        </w:rPr>
        <w:t>勘查开采与保护布局</w:t>
      </w:r>
      <w:bookmarkEnd w:id="43"/>
      <w:bookmarkEnd w:id="44"/>
      <w:bookmarkEnd w:id="45"/>
      <w:bookmarkEnd w:id="46"/>
    </w:p>
    <w:p>
      <w:pPr>
        <w:spacing w:line="500" w:lineRule="exact"/>
        <w:ind w:firstLine="562"/>
        <w:rPr>
          <w:rFonts w:ascii="??_GB2312" w:hAnsi="??_GB2312" w:cs="??_GB2312"/>
          <w:b/>
          <w:bCs/>
        </w:rPr>
      </w:pPr>
      <w:r>
        <w:rPr>
          <w:rFonts w:hint="eastAsia" w:ascii="宋体" w:hAnsi="宋体" w:cs="宋体"/>
          <w:b/>
          <w:bCs/>
        </w:rPr>
        <w:t>一、重点勘查区</w:t>
      </w:r>
    </w:p>
    <w:p>
      <w:pPr>
        <w:spacing w:line="500" w:lineRule="exact"/>
        <w:ind w:firstLine="560"/>
        <w:rPr>
          <w:rFonts w:ascii="??_GB2312" w:hAnsi="??_GB2312" w:cs="??_GB2312"/>
        </w:rPr>
      </w:pPr>
      <w:r>
        <w:rPr>
          <w:rFonts w:hint="eastAsia" w:ascii="宋体" w:hAnsi="宋体" w:cs="宋体"/>
        </w:rPr>
        <w:t>为合理部署矿产资源勘查工作，指导探矿权设置，在成矿地质条件好、有找矿前景等具有资源潜力和环境承载能力强的区域，以地热为重点勘查矿种，划分</w:t>
      </w:r>
      <w:r>
        <w:rPr>
          <w:rFonts w:ascii="??_GB2312" w:hAnsi="??_GB2312" w:cs="??_GB2312"/>
        </w:rPr>
        <w:t>1</w:t>
      </w:r>
      <w:r>
        <w:rPr>
          <w:rFonts w:hint="eastAsia" w:ascii="宋体" w:hAnsi="宋体" w:cs="宋体"/>
        </w:rPr>
        <w:t>个重点勘查区，即四平市伊通县小孤山镇</w:t>
      </w:r>
      <w:r>
        <w:rPr>
          <w:rFonts w:ascii="??_GB2312" w:hAnsi="??_GB2312" w:cs="??_GB2312"/>
        </w:rPr>
        <w:t>-</w:t>
      </w:r>
      <w:r>
        <w:rPr>
          <w:rFonts w:hint="eastAsia" w:ascii="宋体" w:hAnsi="宋体" w:cs="宋体"/>
        </w:rPr>
        <w:t>马鞍山乡地热重点勘查区。</w:t>
      </w:r>
    </w:p>
    <w:p>
      <w:pPr>
        <w:tabs>
          <w:tab w:val="left" w:pos="426"/>
        </w:tabs>
        <w:spacing w:line="500" w:lineRule="exact"/>
        <w:ind w:firstLine="562"/>
        <w:rPr>
          <w:rFonts w:ascii="??_GB2312" w:hAnsi="??_GB2312" w:cs="??_GB2312"/>
          <w:b/>
          <w:bCs/>
        </w:rPr>
      </w:pPr>
      <w:r>
        <w:rPr>
          <w:rFonts w:hint="eastAsia" w:ascii="宋体" w:hAnsi="宋体" w:cs="宋体"/>
          <w:b/>
          <w:bCs/>
        </w:rPr>
        <w:t>重点勘查区域管理措施。</w:t>
      </w:r>
      <w:r>
        <w:rPr>
          <w:rFonts w:hint="eastAsia" w:ascii="宋体" w:hAnsi="宋体" w:cs="宋体"/>
        </w:rPr>
        <w:t>积极引导各方资金有序、集中投入，力争找矿突破，发现新的矿产地，形成具有一定规模的资源开发基地。鼓励区内矿山开展矿区深部找矿。</w:t>
      </w:r>
    </w:p>
    <w:p>
      <w:pPr>
        <w:spacing w:line="500" w:lineRule="exact"/>
        <w:ind w:firstLine="562"/>
        <w:rPr>
          <w:rFonts w:ascii="??_GB2312" w:hAnsi="??_GB2312" w:cs="??_GB2312"/>
          <w:b/>
          <w:bCs/>
        </w:rPr>
      </w:pPr>
      <w:r>
        <w:rPr>
          <w:rFonts w:hint="eastAsia" w:ascii="宋体" w:hAnsi="宋体" w:cs="宋体"/>
          <w:b/>
          <w:bCs/>
        </w:rPr>
        <w:t>二、建筑用石料集中开采区</w:t>
      </w:r>
    </w:p>
    <w:p>
      <w:pPr>
        <w:spacing w:line="500" w:lineRule="exact"/>
        <w:ind w:firstLine="560"/>
        <w:rPr>
          <w:rFonts w:ascii="??_GB2312" w:hAnsi="??_GB2312" w:cs="??_GB2312"/>
        </w:rPr>
      </w:pPr>
      <w:r>
        <w:rPr>
          <w:rFonts w:hint="eastAsia" w:ascii="宋体" w:hAnsi="宋体" w:cs="宋体"/>
        </w:rPr>
        <w:t>按照</w:t>
      </w:r>
      <w:r>
        <w:rPr>
          <w:rFonts w:ascii="??_GB2312" w:hAnsi="??_GB2312" w:cs="??_GB2312"/>
        </w:rPr>
        <w:t>“</w:t>
      </w:r>
      <w:r>
        <w:rPr>
          <w:rFonts w:hint="eastAsia" w:ascii="宋体" w:hAnsi="宋体" w:cs="宋体"/>
        </w:rPr>
        <w:t>权责一致、鼓励创新</w:t>
      </w:r>
      <w:r>
        <w:rPr>
          <w:rFonts w:ascii="??_GB2312" w:hAnsi="??_GB2312" w:cs="??_GB2312"/>
        </w:rPr>
        <w:t>”</w:t>
      </w:r>
      <w:r>
        <w:rPr>
          <w:rFonts w:hint="eastAsia" w:ascii="宋体" w:hAnsi="宋体" w:cs="宋体"/>
        </w:rPr>
        <w:t>的原则，梨树县、伊通县、双辽市根据本辖区内的建筑用石料矿产资源分布情况，在充分考虑交通运输条件、环境承载能力、矿山闭坑后便于集中治理等因素的前提下，结合工业产业布局、新型城镇化发展方向和基础设施建设规划等矿产资源需求因素，合理确定建筑用石料集中开采区。原则上集中开采区内新设开采规划区块开采规模不低于</w:t>
      </w:r>
      <w:r>
        <w:rPr>
          <w:rFonts w:ascii="??_GB2312" w:hAnsi="??_GB2312" w:cs="??_GB2312"/>
        </w:rPr>
        <w:t>30</w:t>
      </w:r>
      <w:r>
        <w:rPr>
          <w:rFonts w:hint="eastAsia" w:ascii="宋体" w:hAnsi="宋体" w:cs="宋体"/>
        </w:rPr>
        <w:t>万立方米／年；集中开采区外，为保障重点工程建设项目、乡村振兴项目的新设开采规划区块，生产规模不低于</w:t>
      </w:r>
      <w:r>
        <w:rPr>
          <w:rFonts w:ascii="??_GB2312" w:hAnsi="??_GB2312" w:cs="??_GB2312"/>
        </w:rPr>
        <w:t>10</w:t>
      </w:r>
      <w:r>
        <w:rPr>
          <w:rFonts w:hint="eastAsia" w:ascii="宋体" w:hAnsi="宋体" w:cs="宋体"/>
        </w:rPr>
        <w:t>万立方米／年，服务年限与项目工期衔接，项目完工后</w:t>
      </w:r>
      <w:r>
        <w:rPr>
          <w:rFonts w:ascii="??_GB2312" w:hAnsi="??_GB2312" w:cs="??_GB2312"/>
        </w:rPr>
        <w:t>3</w:t>
      </w:r>
      <w:r>
        <w:rPr>
          <w:rFonts w:hint="eastAsia" w:ascii="宋体" w:hAnsi="宋体" w:cs="宋体"/>
        </w:rPr>
        <w:t>个月内由县级人民政府组织关闭，并督促矿业权人完成矿区生态环境修复，按程序注销采矿权。</w:t>
      </w:r>
    </w:p>
    <w:p>
      <w:pPr>
        <w:spacing w:line="500" w:lineRule="exact"/>
        <w:ind w:firstLine="562"/>
        <w:rPr>
          <w:rFonts w:ascii="??_GB2312" w:hAnsi="??_GB2312" w:cs="??_GB2312"/>
        </w:rPr>
      </w:pPr>
      <w:r>
        <w:rPr>
          <w:rFonts w:hint="eastAsia" w:ascii="宋体" w:hAnsi="宋体" w:cs="宋体"/>
          <w:b/>
          <w:bCs/>
        </w:rPr>
        <w:t>建筑用石料集中开采区管理措施。</w:t>
      </w:r>
      <w:r>
        <w:rPr>
          <w:rFonts w:hint="eastAsia" w:ascii="宋体" w:hAnsi="宋体" w:cs="宋体"/>
        </w:rPr>
        <w:t>新建建筑用石料矿山必须符合最低开采规模标准和相关生态环境保护要求。推进生产矿山的升级改造，做到采矿与生态修复、保护相协调。</w:t>
      </w:r>
    </w:p>
    <w:p>
      <w:pPr>
        <w:pStyle w:val="5"/>
        <w:ind w:firstLine="0" w:firstLineChars="0"/>
        <w:rPr>
          <w:rFonts w:ascii="??_GB2312" w:hAnsi="??_GB2312" w:cs="??_GB2312"/>
        </w:rPr>
      </w:pPr>
      <w:bookmarkStart w:id="47" w:name="_Toc109202908"/>
      <w:bookmarkStart w:id="48" w:name="_Toc109168665"/>
      <w:bookmarkStart w:id="49" w:name="_Toc22748"/>
      <w:bookmarkStart w:id="50" w:name="_Toc109168947"/>
      <w:r>
        <w:rPr>
          <w:rFonts w:hint="eastAsia" w:ascii="宋体" w:hAnsi="宋体" w:eastAsia="宋体" w:cs="宋体"/>
        </w:rPr>
        <w:t>第四节</w:t>
      </w:r>
      <w:r>
        <w:rPr>
          <w:rFonts w:ascii="??_GB2312" w:hAnsi="??_GB2312" w:cs="??_GB2312"/>
        </w:rPr>
        <w:t xml:space="preserve"> </w:t>
      </w:r>
      <w:r>
        <w:rPr>
          <w:rFonts w:hint="eastAsia" w:ascii="宋体" w:hAnsi="宋体" w:eastAsia="宋体" w:cs="宋体"/>
        </w:rPr>
        <w:t>勘查规划区块</w:t>
      </w:r>
      <w:bookmarkEnd w:id="47"/>
      <w:bookmarkEnd w:id="48"/>
      <w:bookmarkEnd w:id="49"/>
      <w:bookmarkEnd w:id="50"/>
    </w:p>
    <w:p>
      <w:pPr>
        <w:spacing w:line="500" w:lineRule="exact"/>
        <w:ind w:firstLine="562"/>
        <w:rPr>
          <w:rFonts w:ascii="??_GB2312" w:hAnsi="??_GB2312" w:cs="??_GB2312"/>
        </w:rPr>
      </w:pPr>
      <w:r>
        <w:rPr>
          <w:rFonts w:hint="eastAsia" w:ascii="宋体" w:hAnsi="宋体" w:cs="宋体"/>
          <w:b/>
          <w:bCs/>
        </w:rPr>
        <w:t>勘查规划区块设置。</w:t>
      </w:r>
      <w:r>
        <w:rPr>
          <w:rFonts w:hint="eastAsia" w:ascii="宋体" w:hAnsi="宋体" w:cs="宋体"/>
        </w:rPr>
        <w:t>为优化矿产资源勘查合理布局，加强对矿产资源勘查宏观调控，科学指导探矿权设置，根据地球物理、地球化学、遥感等找矿信息，成矿地质条件、矿产资源赋存特点、勘查程度等，共划定勘查规划区块</w:t>
      </w:r>
      <w:r>
        <w:rPr>
          <w:rFonts w:ascii="??_GB2312" w:hAnsi="??_GB2312" w:cs="??_GB2312"/>
        </w:rPr>
        <w:t>19</w:t>
      </w:r>
      <w:r>
        <w:rPr>
          <w:rFonts w:hint="eastAsia" w:ascii="宋体" w:hAnsi="宋体" w:cs="宋体"/>
        </w:rPr>
        <w:t>个（专栏</w:t>
      </w:r>
      <w:r>
        <w:rPr>
          <w:rFonts w:hint="eastAsia" w:ascii="宋体" w:hAnsi="宋体" w:cs="宋体"/>
          <w:lang w:val="en-US" w:eastAsia="zh-CN"/>
        </w:rPr>
        <w:t>3</w:t>
      </w:r>
      <w:r>
        <w:rPr>
          <w:rFonts w:hint="eastAsia" w:ascii="宋体" w:hAnsi="宋体" w:cs="宋体"/>
        </w:rPr>
        <w:t>）。其中，落实省勘查规划区块</w:t>
      </w:r>
      <w:r>
        <w:rPr>
          <w:rFonts w:ascii="??_GB2312" w:hAnsi="??_GB2312" w:cs="??_GB2312"/>
        </w:rPr>
        <w:t>5</w:t>
      </w:r>
      <w:r>
        <w:rPr>
          <w:rFonts w:hint="eastAsia" w:ascii="宋体" w:hAnsi="宋体" w:cs="宋体"/>
        </w:rPr>
        <w:t>个（煤勘查规划区块</w:t>
      </w:r>
      <w:r>
        <w:rPr>
          <w:rFonts w:ascii="??_GB2312" w:hAnsi="??_GB2312" w:cs="??_GB2312"/>
        </w:rPr>
        <w:t>3</w:t>
      </w:r>
      <w:r>
        <w:rPr>
          <w:rFonts w:hint="eastAsia" w:ascii="宋体" w:hAnsi="宋体" w:cs="宋体"/>
        </w:rPr>
        <w:t>个、金勘查规划区块</w:t>
      </w:r>
      <w:r>
        <w:rPr>
          <w:rFonts w:ascii="??_GB2312" w:hAnsi="??_GB2312" w:cs="??_GB2312"/>
        </w:rPr>
        <w:t>2</w:t>
      </w:r>
      <w:r>
        <w:rPr>
          <w:rFonts w:hint="eastAsia" w:ascii="宋体" w:hAnsi="宋体" w:cs="宋体"/>
        </w:rPr>
        <w:t>个），勘查面积</w:t>
      </w:r>
      <w:r>
        <w:rPr>
          <w:rFonts w:ascii="??_GB2312" w:hAnsi="??_GB2312" w:cs="??_GB2312"/>
        </w:rPr>
        <w:t>624.45</w:t>
      </w:r>
      <w:r>
        <w:rPr>
          <w:rFonts w:hint="eastAsia" w:ascii="宋体" w:hAnsi="宋体" w:cs="宋体"/>
        </w:rPr>
        <w:t>平方千米；本级规划勘查规划区块</w:t>
      </w:r>
      <w:r>
        <w:rPr>
          <w:rFonts w:ascii="??_GB2312" w:hAnsi="??_GB2312" w:cs="??_GB2312"/>
        </w:rPr>
        <w:t>14</w:t>
      </w:r>
      <w:r>
        <w:rPr>
          <w:rFonts w:hint="eastAsia" w:ascii="宋体" w:hAnsi="宋体" w:cs="宋体"/>
        </w:rPr>
        <w:t>个，（地热勘查规划区块</w:t>
      </w:r>
      <w:r>
        <w:rPr>
          <w:rFonts w:ascii="??_GB2312" w:hAnsi="??_GB2312" w:cs="??_GB2312"/>
        </w:rPr>
        <w:t>12</w:t>
      </w:r>
      <w:r>
        <w:rPr>
          <w:rFonts w:hint="eastAsia" w:ascii="宋体" w:hAnsi="宋体" w:cs="宋体"/>
        </w:rPr>
        <w:t>个、铅勘查规划区块</w:t>
      </w:r>
      <w:r>
        <w:rPr>
          <w:rFonts w:ascii="??_GB2312" w:hAnsi="??_GB2312" w:cs="??_GB2312"/>
        </w:rPr>
        <w:t>1</w:t>
      </w:r>
      <w:r>
        <w:rPr>
          <w:rFonts w:hint="eastAsia" w:ascii="宋体" w:hAnsi="宋体" w:cs="宋体"/>
        </w:rPr>
        <w:t>个、银勘查规划区块</w:t>
      </w:r>
      <w:r>
        <w:rPr>
          <w:rFonts w:ascii="??_GB2312" w:hAnsi="??_GB2312" w:cs="??_GB2312"/>
        </w:rPr>
        <w:t>1</w:t>
      </w:r>
      <w:r>
        <w:rPr>
          <w:rFonts w:hint="eastAsia" w:ascii="宋体" w:hAnsi="宋体" w:cs="宋体"/>
        </w:rPr>
        <w:t>个），勘查面积</w:t>
      </w:r>
      <w:r>
        <w:rPr>
          <w:rFonts w:ascii="??_GB2312" w:hAnsi="??_GB2312" w:cs="??_GB2312"/>
        </w:rPr>
        <w:t>525.74</w:t>
      </w:r>
      <w:r>
        <w:rPr>
          <w:rFonts w:hint="eastAsia" w:ascii="宋体" w:hAnsi="宋体" w:cs="宋体"/>
        </w:rPr>
        <w:t>平方千米。上述勘查规划区块中勘查程度包括：普查</w:t>
      </w:r>
      <w:r>
        <w:rPr>
          <w:rFonts w:ascii="??_GB2312" w:hAnsi="??_GB2312" w:cs="??_GB2312"/>
        </w:rPr>
        <w:t>18</w:t>
      </w:r>
      <w:r>
        <w:rPr>
          <w:rFonts w:hint="eastAsia" w:ascii="宋体" w:hAnsi="宋体" w:cs="宋体"/>
        </w:rPr>
        <w:t>个、勘探</w:t>
      </w:r>
      <w:r>
        <w:rPr>
          <w:rFonts w:ascii="??_GB2312" w:hAnsi="??_GB2312" w:cs="??_GB2312"/>
        </w:rPr>
        <w:t>1</w:t>
      </w:r>
      <w:r>
        <w:rPr>
          <w:rFonts w:hint="eastAsia" w:ascii="宋体" w:hAnsi="宋体" w:cs="宋体"/>
        </w:rPr>
        <w:t>个。</w:t>
      </w:r>
    </w:p>
    <w:tbl>
      <w:tblPr>
        <w:tblStyle w:val="20"/>
        <w:tblW w:w="9286"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851"/>
        <w:gridCol w:w="850"/>
        <w:gridCol w:w="851"/>
        <w:gridCol w:w="3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7"/>
            <w:tcBorders>
              <w:top w:val="single" w:color="auto" w:sz="12" w:space="0"/>
            </w:tcBorders>
            <w:shd w:val="clear" w:color="auto" w:fill="auto"/>
          </w:tcPr>
          <w:p>
            <w:pPr>
              <w:ind w:firstLine="0" w:firstLineChars="0"/>
              <w:rPr>
                <w:rFonts w:ascii="??_GB2312" w:hAnsi="??_GB2312" w:cs="??_GB2312"/>
                <w:sz w:val="21"/>
                <w:szCs w:val="21"/>
              </w:rPr>
            </w:pPr>
            <w:r>
              <w:rPr>
                <w:rFonts w:hint="eastAsia" w:ascii="宋体" w:hAnsi="宋体" w:cs="宋体"/>
                <w:b/>
                <w:bCs/>
                <w:sz w:val="21"/>
                <w:szCs w:val="21"/>
              </w:rPr>
              <w:t>专栏</w:t>
            </w:r>
            <w:r>
              <w:rPr>
                <w:rFonts w:hint="eastAsia" w:ascii="宋体" w:hAnsi="宋体" w:cs="宋体"/>
                <w:b/>
                <w:bCs/>
                <w:sz w:val="21"/>
                <w:szCs w:val="21"/>
                <w:lang w:val="en-US" w:eastAsia="zh-CN"/>
              </w:rPr>
              <w:t>3</w:t>
            </w:r>
            <w:r>
              <w:rPr>
                <w:rFonts w:ascii="??_GB2312" w:hAnsi="??_GB2312" w:cs="??_GB2312"/>
                <w:b/>
                <w:bCs/>
                <w:sz w:val="21"/>
                <w:szCs w:val="21"/>
              </w:rPr>
              <w:t xml:space="preserve">                </w:t>
            </w:r>
            <w:r>
              <w:rPr>
                <w:rFonts w:hint="eastAsia" w:ascii="宋体" w:hAnsi="宋体" w:cs="宋体"/>
                <w:b/>
                <w:bCs/>
                <w:sz w:val="21"/>
                <w:szCs w:val="21"/>
              </w:rPr>
              <w:t>四平市矿产资源勘查规划区块及勘查程度统计表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序号</w:t>
            </w:r>
          </w:p>
        </w:tc>
        <w:tc>
          <w:tcPr>
            <w:tcW w:w="1276" w:type="dxa"/>
            <w:vMerge w:val="restart"/>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勘查矿种</w:t>
            </w:r>
          </w:p>
        </w:tc>
        <w:tc>
          <w:tcPr>
            <w:tcW w:w="850" w:type="dxa"/>
            <w:vMerge w:val="restart"/>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数量</w:t>
            </w:r>
          </w:p>
        </w:tc>
        <w:tc>
          <w:tcPr>
            <w:tcW w:w="2552" w:type="dxa"/>
            <w:gridSpan w:val="3"/>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勘查程度</w:t>
            </w:r>
          </w:p>
        </w:tc>
        <w:tc>
          <w:tcPr>
            <w:tcW w:w="3791" w:type="dxa"/>
            <w:vMerge w:val="restart"/>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所在县（市、区）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shd w:val="clear" w:color="auto" w:fill="auto"/>
            <w:vAlign w:val="center"/>
          </w:tcPr>
          <w:p>
            <w:pPr>
              <w:ind w:firstLine="0" w:firstLineChars="0"/>
              <w:jc w:val="center"/>
              <w:rPr>
                <w:rFonts w:ascii="??_GB2312" w:hAnsi="??_GB2312" w:cs="??_GB2312"/>
                <w:sz w:val="21"/>
                <w:szCs w:val="21"/>
              </w:rPr>
            </w:pPr>
          </w:p>
        </w:tc>
        <w:tc>
          <w:tcPr>
            <w:tcW w:w="1276" w:type="dxa"/>
            <w:vMerge w:val="continue"/>
            <w:shd w:val="clear" w:color="auto" w:fill="auto"/>
            <w:vAlign w:val="center"/>
          </w:tcPr>
          <w:p>
            <w:pPr>
              <w:ind w:firstLine="0" w:firstLineChars="0"/>
              <w:jc w:val="center"/>
              <w:rPr>
                <w:rFonts w:ascii="??_GB2312" w:hAnsi="??_GB2312" w:cs="??_GB2312"/>
                <w:sz w:val="21"/>
                <w:szCs w:val="21"/>
              </w:rPr>
            </w:pPr>
          </w:p>
        </w:tc>
        <w:tc>
          <w:tcPr>
            <w:tcW w:w="850" w:type="dxa"/>
            <w:vMerge w:val="continue"/>
            <w:shd w:val="clear" w:color="auto" w:fill="auto"/>
            <w:vAlign w:val="center"/>
          </w:tcPr>
          <w:p>
            <w:pPr>
              <w:ind w:firstLine="0" w:firstLineChars="0"/>
              <w:jc w:val="center"/>
              <w:rPr>
                <w:rFonts w:ascii="??_GB2312" w:hAnsi="??_GB2312" w:cs="??_GB2312"/>
                <w:sz w:val="21"/>
                <w:szCs w:val="21"/>
              </w:rPr>
            </w:pPr>
          </w:p>
        </w:tc>
        <w:tc>
          <w:tcPr>
            <w:tcW w:w="85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普查</w:t>
            </w:r>
          </w:p>
        </w:tc>
        <w:tc>
          <w:tcPr>
            <w:tcW w:w="850"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详查</w:t>
            </w:r>
          </w:p>
        </w:tc>
        <w:tc>
          <w:tcPr>
            <w:tcW w:w="85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勘探</w:t>
            </w:r>
          </w:p>
        </w:tc>
        <w:tc>
          <w:tcPr>
            <w:tcW w:w="3791" w:type="dxa"/>
            <w:vMerge w:val="continue"/>
            <w:shd w:val="clear" w:color="auto" w:fill="auto"/>
            <w:vAlign w:val="center"/>
          </w:tcPr>
          <w:p>
            <w:pPr>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127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煤</w:t>
            </w:r>
          </w:p>
        </w:tc>
        <w:tc>
          <w:tcPr>
            <w:tcW w:w="850"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3</w:t>
            </w:r>
          </w:p>
        </w:tc>
        <w:tc>
          <w:tcPr>
            <w:tcW w:w="851"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3</w:t>
            </w:r>
          </w:p>
        </w:tc>
        <w:tc>
          <w:tcPr>
            <w:tcW w:w="850" w:type="dxa"/>
            <w:shd w:val="clear" w:color="auto" w:fill="auto"/>
            <w:vAlign w:val="center"/>
          </w:tcPr>
          <w:p>
            <w:pPr>
              <w:ind w:firstLine="0" w:firstLineChars="0"/>
              <w:jc w:val="center"/>
              <w:rPr>
                <w:rFonts w:ascii="??_GB2312" w:hAnsi="??_GB2312" w:cs="??_GB2312"/>
                <w:sz w:val="21"/>
                <w:szCs w:val="21"/>
              </w:rPr>
            </w:pPr>
          </w:p>
        </w:tc>
        <w:tc>
          <w:tcPr>
            <w:tcW w:w="851" w:type="dxa"/>
            <w:shd w:val="clear" w:color="auto" w:fill="auto"/>
            <w:vAlign w:val="center"/>
          </w:tcPr>
          <w:p>
            <w:pPr>
              <w:ind w:firstLine="0" w:firstLineChars="0"/>
              <w:jc w:val="center"/>
              <w:rPr>
                <w:rFonts w:ascii="??_GB2312" w:hAnsi="??_GB2312" w:cs="??_GB2312"/>
                <w:sz w:val="21"/>
                <w:szCs w:val="21"/>
              </w:rPr>
            </w:pPr>
          </w:p>
        </w:tc>
        <w:tc>
          <w:tcPr>
            <w:tcW w:w="379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铁东区、梨树县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2</w:t>
            </w:r>
          </w:p>
        </w:tc>
        <w:tc>
          <w:tcPr>
            <w:tcW w:w="127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地热</w:t>
            </w:r>
          </w:p>
        </w:tc>
        <w:tc>
          <w:tcPr>
            <w:tcW w:w="850"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12</w:t>
            </w:r>
          </w:p>
        </w:tc>
        <w:tc>
          <w:tcPr>
            <w:tcW w:w="851"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12</w:t>
            </w:r>
          </w:p>
        </w:tc>
        <w:tc>
          <w:tcPr>
            <w:tcW w:w="850" w:type="dxa"/>
            <w:shd w:val="clear" w:color="auto" w:fill="auto"/>
            <w:vAlign w:val="center"/>
          </w:tcPr>
          <w:p>
            <w:pPr>
              <w:ind w:firstLine="0" w:firstLineChars="0"/>
              <w:jc w:val="center"/>
              <w:rPr>
                <w:rFonts w:ascii="??_GB2312" w:hAnsi="??_GB2312" w:cs="??_GB2312"/>
                <w:sz w:val="21"/>
                <w:szCs w:val="21"/>
              </w:rPr>
            </w:pPr>
          </w:p>
        </w:tc>
        <w:tc>
          <w:tcPr>
            <w:tcW w:w="851" w:type="dxa"/>
            <w:shd w:val="clear" w:color="auto" w:fill="auto"/>
            <w:vAlign w:val="center"/>
          </w:tcPr>
          <w:p>
            <w:pPr>
              <w:ind w:firstLine="0" w:firstLineChars="0"/>
              <w:jc w:val="center"/>
              <w:rPr>
                <w:rFonts w:ascii="??_GB2312" w:hAnsi="??_GB2312" w:cs="??_GB2312"/>
                <w:sz w:val="21"/>
                <w:szCs w:val="21"/>
              </w:rPr>
            </w:pPr>
          </w:p>
        </w:tc>
        <w:tc>
          <w:tcPr>
            <w:tcW w:w="379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伊通县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3</w:t>
            </w:r>
          </w:p>
        </w:tc>
        <w:tc>
          <w:tcPr>
            <w:tcW w:w="127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金</w:t>
            </w:r>
          </w:p>
        </w:tc>
        <w:tc>
          <w:tcPr>
            <w:tcW w:w="850"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2</w:t>
            </w:r>
          </w:p>
        </w:tc>
        <w:tc>
          <w:tcPr>
            <w:tcW w:w="851"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2</w:t>
            </w:r>
          </w:p>
        </w:tc>
        <w:tc>
          <w:tcPr>
            <w:tcW w:w="850" w:type="dxa"/>
            <w:shd w:val="clear" w:color="auto" w:fill="auto"/>
            <w:vAlign w:val="center"/>
          </w:tcPr>
          <w:p>
            <w:pPr>
              <w:ind w:firstLine="0" w:firstLineChars="0"/>
              <w:jc w:val="center"/>
              <w:rPr>
                <w:rFonts w:ascii="??_GB2312" w:hAnsi="??_GB2312" w:cs="??_GB2312"/>
                <w:sz w:val="21"/>
                <w:szCs w:val="21"/>
              </w:rPr>
            </w:pPr>
          </w:p>
        </w:tc>
        <w:tc>
          <w:tcPr>
            <w:tcW w:w="851" w:type="dxa"/>
            <w:shd w:val="clear" w:color="auto" w:fill="auto"/>
            <w:vAlign w:val="center"/>
          </w:tcPr>
          <w:p>
            <w:pPr>
              <w:ind w:firstLine="0" w:firstLineChars="0"/>
              <w:jc w:val="center"/>
              <w:rPr>
                <w:rFonts w:ascii="??_GB2312" w:hAnsi="??_GB2312" w:cs="??_GB2312"/>
                <w:sz w:val="21"/>
                <w:szCs w:val="21"/>
              </w:rPr>
            </w:pPr>
          </w:p>
        </w:tc>
        <w:tc>
          <w:tcPr>
            <w:tcW w:w="379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梨树县、伊通县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4</w:t>
            </w:r>
          </w:p>
        </w:tc>
        <w:tc>
          <w:tcPr>
            <w:tcW w:w="127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银</w:t>
            </w:r>
          </w:p>
        </w:tc>
        <w:tc>
          <w:tcPr>
            <w:tcW w:w="850"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851" w:type="dxa"/>
            <w:shd w:val="clear" w:color="auto" w:fill="auto"/>
            <w:vAlign w:val="center"/>
          </w:tcPr>
          <w:p>
            <w:pPr>
              <w:ind w:firstLine="0" w:firstLineChars="0"/>
              <w:jc w:val="center"/>
              <w:rPr>
                <w:rFonts w:ascii="??_GB2312" w:hAnsi="??_GB2312" w:cs="??_GB2312"/>
                <w:sz w:val="21"/>
                <w:szCs w:val="21"/>
              </w:rPr>
            </w:pPr>
          </w:p>
        </w:tc>
        <w:tc>
          <w:tcPr>
            <w:tcW w:w="850" w:type="dxa"/>
            <w:shd w:val="clear" w:color="auto" w:fill="auto"/>
            <w:vAlign w:val="center"/>
          </w:tcPr>
          <w:p>
            <w:pPr>
              <w:ind w:firstLine="0" w:firstLineChars="0"/>
              <w:jc w:val="center"/>
              <w:rPr>
                <w:rFonts w:ascii="??_GB2312" w:hAnsi="??_GB2312" w:cs="??_GB2312"/>
                <w:sz w:val="21"/>
                <w:szCs w:val="21"/>
              </w:rPr>
            </w:pPr>
          </w:p>
        </w:tc>
        <w:tc>
          <w:tcPr>
            <w:tcW w:w="851"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379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铁东区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5</w:t>
            </w:r>
          </w:p>
        </w:tc>
        <w:tc>
          <w:tcPr>
            <w:tcW w:w="127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铅</w:t>
            </w:r>
          </w:p>
        </w:tc>
        <w:tc>
          <w:tcPr>
            <w:tcW w:w="850"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851"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850" w:type="dxa"/>
            <w:shd w:val="clear" w:color="auto" w:fill="auto"/>
            <w:vAlign w:val="center"/>
          </w:tcPr>
          <w:p>
            <w:pPr>
              <w:ind w:firstLine="0" w:firstLineChars="0"/>
              <w:jc w:val="center"/>
              <w:rPr>
                <w:rFonts w:ascii="??_GB2312" w:hAnsi="??_GB2312" w:cs="??_GB2312"/>
                <w:sz w:val="21"/>
                <w:szCs w:val="21"/>
              </w:rPr>
            </w:pPr>
          </w:p>
        </w:tc>
        <w:tc>
          <w:tcPr>
            <w:tcW w:w="851" w:type="dxa"/>
            <w:shd w:val="clear" w:color="auto" w:fill="auto"/>
            <w:vAlign w:val="center"/>
          </w:tcPr>
          <w:p>
            <w:pPr>
              <w:ind w:firstLine="0" w:firstLineChars="0"/>
              <w:jc w:val="center"/>
              <w:rPr>
                <w:rFonts w:ascii="??_GB2312" w:hAnsi="??_GB2312" w:cs="??_GB2312"/>
                <w:sz w:val="21"/>
                <w:szCs w:val="21"/>
              </w:rPr>
            </w:pPr>
          </w:p>
        </w:tc>
        <w:tc>
          <w:tcPr>
            <w:tcW w:w="3791"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梨树县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合计</w:t>
            </w:r>
          </w:p>
        </w:tc>
        <w:tc>
          <w:tcPr>
            <w:tcW w:w="1276"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p>
        </w:tc>
        <w:tc>
          <w:tcPr>
            <w:tcW w:w="850"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19</w:t>
            </w:r>
          </w:p>
        </w:tc>
        <w:tc>
          <w:tcPr>
            <w:tcW w:w="851"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18</w:t>
            </w:r>
          </w:p>
        </w:tc>
        <w:tc>
          <w:tcPr>
            <w:tcW w:w="850"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p>
        </w:tc>
        <w:tc>
          <w:tcPr>
            <w:tcW w:w="851"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3791"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p>
        </w:tc>
      </w:tr>
    </w:tbl>
    <w:p>
      <w:pPr>
        <w:spacing w:line="500" w:lineRule="exact"/>
        <w:ind w:firstLine="562"/>
        <w:rPr>
          <w:rFonts w:ascii="??_GB2312" w:hAnsi="??_GB2312" w:cs="??_GB2312"/>
          <w:b/>
          <w:bCs/>
        </w:rPr>
      </w:pPr>
      <w:r>
        <w:rPr>
          <w:rFonts w:hint="eastAsia" w:ascii="宋体" w:hAnsi="宋体" w:cs="宋体"/>
          <w:b/>
          <w:bCs/>
        </w:rPr>
        <w:t>勘查规划区块管理措施。</w:t>
      </w:r>
      <w:r>
        <w:rPr>
          <w:rFonts w:hint="eastAsia" w:ascii="宋体" w:hAnsi="宋体" w:cs="宋体"/>
        </w:rPr>
        <w:t>合理安排探矿权投放数量和投放时序，优先安排战略性矿种勘查和新型清洁能源勘查。为保证勘查信息完整性，并充分考虑矿产资源开发布局要求，一个勘查规划区块原则上只设置一个勘查主体。</w:t>
      </w:r>
    </w:p>
    <w:p>
      <w:pPr>
        <w:pStyle w:val="5"/>
        <w:ind w:firstLine="0" w:firstLineChars="0"/>
        <w:rPr>
          <w:rFonts w:ascii="??_GB2312" w:hAnsi="??_GB2312" w:cs="??_GB2312"/>
        </w:rPr>
      </w:pPr>
      <w:bookmarkStart w:id="51" w:name="_Toc109168948"/>
      <w:bookmarkStart w:id="52" w:name="_Toc109168666"/>
      <w:bookmarkStart w:id="53" w:name="_Toc5766"/>
      <w:bookmarkStart w:id="54" w:name="_Toc109202909"/>
      <w:r>
        <w:rPr>
          <w:rFonts w:hint="eastAsia" w:ascii="宋体" w:hAnsi="宋体" w:eastAsia="宋体" w:cs="宋体"/>
        </w:rPr>
        <w:t>第五节</w:t>
      </w:r>
      <w:r>
        <w:rPr>
          <w:rFonts w:ascii="??_GB2312" w:hAnsi="??_GB2312" w:cs="??_GB2312"/>
        </w:rPr>
        <w:t xml:space="preserve"> </w:t>
      </w:r>
      <w:r>
        <w:rPr>
          <w:rFonts w:hint="eastAsia" w:ascii="宋体" w:hAnsi="宋体" w:eastAsia="宋体" w:cs="宋体"/>
        </w:rPr>
        <w:t>开采规划区块</w:t>
      </w:r>
      <w:bookmarkEnd w:id="51"/>
      <w:bookmarkEnd w:id="52"/>
      <w:bookmarkEnd w:id="53"/>
      <w:bookmarkEnd w:id="54"/>
    </w:p>
    <w:p>
      <w:pPr>
        <w:spacing w:line="500" w:lineRule="exact"/>
        <w:ind w:firstLine="562"/>
        <w:rPr>
          <w:rFonts w:ascii="??_GB2312" w:hAnsi="??_GB2312" w:cs="??_GB2312"/>
        </w:rPr>
      </w:pPr>
      <w:r>
        <w:rPr>
          <w:rFonts w:hint="eastAsia" w:ascii="宋体" w:hAnsi="宋体" w:cs="宋体"/>
          <w:b/>
          <w:bCs/>
        </w:rPr>
        <w:t>开采规划区块设置。</w:t>
      </w:r>
      <w:r>
        <w:rPr>
          <w:rFonts w:hint="eastAsia" w:ascii="宋体" w:hAnsi="宋体" w:cs="宋体"/>
        </w:rPr>
        <w:t>根据开采区块设置要求，资源赋存特点，矿山开采方式和基础设施建设条件，划定</w:t>
      </w:r>
      <w:r>
        <w:rPr>
          <w:rFonts w:ascii="??_GB2312" w:hAnsi="??_GB2312" w:cs="??_GB2312"/>
        </w:rPr>
        <w:t>2</w:t>
      </w:r>
      <w:r>
        <w:rPr>
          <w:rFonts w:hint="eastAsia" w:ascii="宋体" w:hAnsi="宋体" w:cs="宋体"/>
        </w:rPr>
        <w:t>个开采规划区块，开采矿种均为建筑用石料</w:t>
      </w:r>
      <w:r>
        <w:rPr>
          <w:rFonts w:ascii="??_GB2312" w:hAnsi="??_GB2312" w:cs="??_GB2312"/>
        </w:rPr>
        <w:t xml:space="preserve"> (</w:t>
      </w:r>
      <w:r>
        <w:rPr>
          <w:rFonts w:hint="eastAsia" w:ascii="宋体" w:hAnsi="宋体" w:cs="宋体"/>
        </w:rPr>
        <w:t>专栏</w:t>
      </w:r>
      <w:r>
        <w:rPr>
          <w:rFonts w:hint="eastAsia" w:ascii="宋体" w:hAnsi="宋体" w:cs="宋体"/>
          <w:lang w:val="en-US" w:eastAsia="zh-CN"/>
        </w:rPr>
        <w:t>4</w:t>
      </w:r>
      <w:r>
        <w:rPr>
          <w:rFonts w:ascii="??_GB2312" w:hAnsi="??_GB2312" w:cs="??_GB2312"/>
        </w:rPr>
        <w:t>)</w:t>
      </w:r>
      <w:r>
        <w:rPr>
          <w:rFonts w:hint="eastAsia" w:ascii="宋体" w:hAnsi="宋体" w:cs="宋体"/>
        </w:rPr>
        <w:t>。</w:t>
      </w:r>
    </w:p>
    <w:tbl>
      <w:tblPr>
        <w:tblStyle w:val="20"/>
        <w:tblW w:w="9322"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552"/>
        <w:gridCol w:w="3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gridSpan w:val="4"/>
            <w:tcBorders>
              <w:top w:val="single" w:color="auto" w:sz="12" w:space="0"/>
            </w:tcBorders>
            <w:shd w:val="clear" w:color="auto" w:fill="auto"/>
            <w:vAlign w:val="center"/>
          </w:tcPr>
          <w:p>
            <w:pPr>
              <w:ind w:firstLine="0" w:firstLineChars="0"/>
              <w:rPr>
                <w:rFonts w:ascii="??_GB2312" w:hAnsi="??_GB2312" w:cs="??_GB2312"/>
                <w:sz w:val="21"/>
                <w:szCs w:val="21"/>
              </w:rPr>
            </w:pPr>
            <w:bookmarkStart w:id="55" w:name="_Hlk108521644"/>
            <w:r>
              <w:rPr>
                <w:rFonts w:hint="eastAsia" w:ascii="宋体" w:hAnsi="宋体" w:cs="宋体"/>
                <w:b/>
                <w:bCs/>
                <w:sz w:val="21"/>
                <w:szCs w:val="21"/>
              </w:rPr>
              <w:t>专栏</w:t>
            </w:r>
            <w:r>
              <w:rPr>
                <w:rFonts w:hint="eastAsia" w:ascii="宋体" w:hAnsi="宋体" w:cs="宋体"/>
                <w:b/>
                <w:bCs/>
                <w:sz w:val="21"/>
                <w:szCs w:val="21"/>
                <w:lang w:val="en-US" w:eastAsia="zh-CN"/>
              </w:rPr>
              <w:t>4</w:t>
            </w:r>
            <w:r>
              <w:rPr>
                <w:rFonts w:ascii="??_GB2312" w:hAnsi="??_GB2312" w:cs="??_GB2312"/>
                <w:b/>
                <w:bCs/>
                <w:sz w:val="21"/>
                <w:szCs w:val="21"/>
              </w:rPr>
              <w:t xml:space="preserve">                      </w:t>
            </w:r>
            <w:r>
              <w:rPr>
                <w:rFonts w:hint="eastAsia" w:ascii="宋体" w:hAnsi="宋体" w:cs="宋体"/>
                <w:b/>
                <w:bCs/>
                <w:sz w:val="21"/>
                <w:szCs w:val="21"/>
              </w:rPr>
              <w:t>四平市矿产资源开采规划区块统计表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序号</w:t>
            </w:r>
          </w:p>
        </w:tc>
        <w:tc>
          <w:tcPr>
            <w:tcW w:w="212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勘查矿种</w:t>
            </w:r>
          </w:p>
        </w:tc>
        <w:tc>
          <w:tcPr>
            <w:tcW w:w="2552"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数量</w:t>
            </w:r>
          </w:p>
        </w:tc>
        <w:tc>
          <w:tcPr>
            <w:tcW w:w="3827"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所在县（市、区）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1</w:t>
            </w:r>
          </w:p>
        </w:tc>
        <w:tc>
          <w:tcPr>
            <w:tcW w:w="2126"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建筑用石料</w:t>
            </w:r>
          </w:p>
        </w:tc>
        <w:tc>
          <w:tcPr>
            <w:tcW w:w="2552" w:type="dxa"/>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2</w:t>
            </w:r>
          </w:p>
        </w:tc>
        <w:tc>
          <w:tcPr>
            <w:tcW w:w="3827" w:type="dxa"/>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铁东区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r>
              <w:rPr>
                <w:rFonts w:hint="eastAsia" w:ascii="宋体" w:hAnsi="宋体" w:cs="宋体"/>
                <w:sz w:val="21"/>
                <w:szCs w:val="21"/>
              </w:rPr>
              <w:t>合计</w:t>
            </w:r>
          </w:p>
        </w:tc>
        <w:tc>
          <w:tcPr>
            <w:tcW w:w="2126"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p>
        </w:tc>
        <w:tc>
          <w:tcPr>
            <w:tcW w:w="2552"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r>
              <w:rPr>
                <w:rFonts w:ascii="??_GB2312" w:hAnsi="??_GB2312" w:cs="??_GB2312"/>
                <w:sz w:val="21"/>
                <w:szCs w:val="21"/>
              </w:rPr>
              <w:t>2</w:t>
            </w:r>
          </w:p>
        </w:tc>
        <w:tc>
          <w:tcPr>
            <w:tcW w:w="3827" w:type="dxa"/>
            <w:tcBorders>
              <w:bottom w:val="single" w:color="auto" w:sz="12" w:space="0"/>
            </w:tcBorders>
            <w:shd w:val="clear" w:color="auto" w:fill="auto"/>
            <w:vAlign w:val="center"/>
          </w:tcPr>
          <w:p>
            <w:pPr>
              <w:ind w:firstLine="0" w:firstLineChars="0"/>
              <w:jc w:val="center"/>
              <w:rPr>
                <w:rFonts w:ascii="??_GB2312" w:hAnsi="??_GB2312" w:cs="??_GB2312"/>
                <w:sz w:val="21"/>
                <w:szCs w:val="21"/>
              </w:rPr>
            </w:pPr>
          </w:p>
        </w:tc>
      </w:tr>
      <w:bookmarkEnd w:id="55"/>
    </w:tbl>
    <w:p>
      <w:pPr>
        <w:spacing w:line="500" w:lineRule="exact"/>
        <w:ind w:firstLine="562"/>
        <w:rPr>
          <w:rFonts w:ascii="??_GB2312" w:hAnsi="??_GB2312" w:cs="??_GB2312"/>
          <w:b/>
          <w:bCs/>
        </w:rPr>
      </w:pPr>
      <w:r>
        <w:rPr>
          <w:rFonts w:hint="eastAsia" w:ascii="宋体" w:hAnsi="宋体" w:cs="宋体"/>
          <w:b/>
          <w:bCs/>
        </w:rPr>
        <w:t>开采规划区块管理措施。</w:t>
      </w:r>
      <w:r>
        <w:rPr>
          <w:rFonts w:hint="eastAsia" w:ascii="宋体" w:hAnsi="宋体" w:cs="宋体"/>
        </w:rPr>
        <w:t>加强采矿权管理，有序投放采矿权，原则上一个开采区块内只设置一个开采主体。</w:t>
      </w:r>
    </w:p>
    <w:p>
      <w:pPr>
        <w:ind w:firstLine="560"/>
        <w:rPr>
          <w:rFonts w:ascii="??_GB2312" w:hAnsi="??_GB2312" w:cs="??_GB2312"/>
        </w:rPr>
      </w:pPr>
    </w:p>
    <w:p>
      <w:pPr>
        <w:pStyle w:val="4"/>
        <w:ind w:firstLine="723"/>
        <w:rPr>
          <w:rFonts w:ascii="??_GB2312" w:hAnsi="??_GB2312" w:cs="??_GB2312"/>
          <w:sz w:val="36"/>
          <w:szCs w:val="36"/>
        </w:rPr>
      </w:pPr>
      <w:bookmarkStart w:id="56" w:name="_Toc109168949"/>
      <w:bookmarkStart w:id="57" w:name="_Toc109168667"/>
      <w:bookmarkStart w:id="58" w:name="_Toc109202910"/>
      <w:bookmarkStart w:id="59" w:name="_Toc23190"/>
      <w:r>
        <w:rPr>
          <w:rFonts w:hint="eastAsia" w:ascii="宋体" w:hAnsi="宋体" w:eastAsia="宋体" w:cs="宋体"/>
          <w:sz w:val="36"/>
          <w:szCs w:val="36"/>
        </w:rPr>
        <w:t>第四章</w:t>
      </w:r>
      <w:r>
        <w:rPr>
          <w:rFonts w:ascii="??_GB2312" w:hAnsi="??_GB2312" w:cs="??_GB2312"/>
          <w:sz w:val="36"/>
          <w:szCs w:val="36"/>
        </w:rPr>
        <w:t xml:space="preserve"> </w:t>
      </w:r>
      <w:r>
        <w:rPr>
          <w:rFonts w:hint="eastAsia" w:ascii="宋体" w:hAnsi="宋体" w:eastAsia="宋体" w:cs="宋体"/>
          <w:sz w:val="36"/>
          <w:szCs w:val="36"/>
        </w:rPr>
        <w:t>加强矿产资源勘查开发利用与保护</w:t>
      </w:r>
      <w:bookmarkEnd w:id="56"/>
      <w:bookmarkEnd w:id="57"/>
      <w:bookmarkEnd w:id="58"/>
      <w:bookmarkEnd w:id="59"/>
    </w:p>
    <w:p>
      <w:pPr>
        <w:pStyle w:val="5"/>
        <w:ind w:firstLine="0" w:firstLineChars="0"/>
        <w:rPr>
          <w:rFonts w:ascii="??_GB2312" w:hAnsi="??_GB2312" w:cs="??_GB2312"/>
        </w:rPr>
      </w:pPr>
      <w:bookmarkStart w:id="60" w:name="_Toc109168668"/>
      <w:bookmarkStart w:id="61" w:name="_Toc14254"/>
      <w:bookmarkStart w:id="62" w:name="_Toc109168950"/>
      <w:bookmarkStart w:id="63" w:name="_Toc109202911"/>
      <w:r>
        <w:rPr>
          <w:rFonts w:hint="eastAsia" w:ascii="宋体" w:hAnsi="宋体" w:eastAsia="宋体" w:cs="宋体"/>
        </w:rPr>
        <w:t>第一节</w:t>
      </w:r>
      <w:r>
        <w:rPr>
          <w:rFonts w:ascii="??_GB2312" w:hAnsi="??_GB2312" w:cs="??_GB2312"/>
        </w:rPr>
        <w:t xml:space="preserve"> </w:t>
      </w:r>
      <w:r>
        <w:rPr>
          <w:rFonts w:hint="eastAsia" w:ascii="宋体" w:hAnsi="宋体" w:eastAsia="宋体" w:cs="宋体"/>
        </w:rPr>
        <w:t>合理确定开发强度</w:t>
      </w:r>
      <w:bookmarkEnd w:id="60"/>
      <w:bookmarkEnd w:id="61"/>
      <w:bookmarkEnd w:id="62"/>
      <w:bookmarkEnd w:id="63"/>
    </w:p>
    <w:p>
      <w:pPr>
        <w:spacing w:line="500" w:lineRule="exact"/>
        <w:ind w:firstLine="560"/>
        <w:rPr>
          <w:rFonts w:ascii="??_GB2312" w:hAnsi="??_GB2312" w:cs="??_GB2312"/>
        </w:rPr>
      </w:pPr>
      <w:r>
        <w:rPr>
          <w:rFonts w:hint="eastAsia" w:ascii="宋体" w:hAnsi="宋体" w:cs="宋体"/>
        </w:rPr>
        <w:t>结合四平市经济社会发展需求、矿产资源供需形式和资源环境承载能力，对硅灰石、水泥用灰岩（大理岩）等</w:t>
      </w:r>
      <w:r>
        <w:rPr>
          <w:rFonts w:ascii="??_GB2312" w:hAnsi="??_GB2312" w:cs="??_GB2312"/>
        </w:rPr>
        <w:t>3</w:t>
      </w:r>
      <w:r>
        <w:rPr>
          <w:rFonts w:hint="eastAsia" w:ascii="宋体" w:hAnsi="宋体" w:cs="宋体"/>
        </w:rPr>
        <w:t>种矿产实行矿山数量和开采总量调控，合理制定开采总量调控指标（专栏</w:t>
      </w:r>
      <w:r>
        <w:rPr>
          <w:rFonts w:hint="eastAsia" w:ascii="宋体" w:hAnsi="宋体" w:cs="宋体"/>
          <w:lang w:val="en-US" w:eastAsia="zh-CN"/>
        </w:rPr>
        <w:t>5</w:t>
      </w:r>
      <w:r>
        <w:rPr>
          <w:rFonts w:hint="eastAsia" w:ascii="宋体" w:hAnsi="宋体" w:cs="宋体"/>
        </w:rPr>
        <w:t>）。支持符合条件的矿山适时恢复生产。鼓励对市场前景好，经济效益高的矿产进行开发利用。</w:t>
      </w:r>
    </w:p>
    <w:tbl>
      <w:tblPr>
        <w:tblStyle w:val="20"/>
        <w:tblW w:w="9286"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134"/>
        <w:gridCol w:w="992"/>
        <w:gridCol w:w="992"/>
        <w:gridCol w:w="993"/>
        <w:gridCol w:w="992"/>
        <w:gridCol w:w="1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86" w:type="dxa"/>
            <w:gridSpan w:val="8"/>
            <w:tcBorders>
              <w:top w:val="single" w:color="auto" w:sz="12" w:space="0"/>
            </w:tcBorders>
            <w:shd w:val="clear" w:color="auto" w:fill="auto"/>
            <w:vAlign w:val="center"/>
          </w:tcPr>
          <w:p>
            <w:pPr>
              <w:spacing w:line="240" w:lineRule="auto"/>
              <w:ind w:firstLine="0" w:firstLineChars="0"/>
              <w:rPr>
                <w:rFonts w:ascii="??_GB2312" w:hAnsi="??_GB2312" w:cs="??_GB2312"/>
                <w:sz w:val="21"/>
                <w:szCs w:val="21"/>
              </w:rPr>
            </w:pPr>
            <w:r>
              <w:rPr>
                <w:rFonts w:hint="eastAsia" w:ascii="宋体" w:hAnsi="宋体" w:cs="宋体"/>
                <w:b/>
                <w:bCs/>
                <w:sz w:val="21"/>
                <w:szCs w:val="21"/>
              </w:rPr>
              <w:t>专栏</w:t>
            </w:r>
            <w:r>
              <w:rPr>
                <w:rFonts w:hint="eastAsia" w:ascii="宋体" w:hAnsi="宋体" w:cs="宋体"/>
                <w:b/>
                <w:bCs/>
                <w:sz w:val="21"/>
                <w:szCs w:val="21"/>
                <w:lang w:val="en-US" w:eastAsia="zh-CN"/>
              </w:rPr>
              <w:t>5</w:t>
            </w:r>
            <w:r>
              <w:rPr>
                <w:rFonts w:ascii="??_GB2312" w:hAnsi="??_GB2312" w:cs="??_GB2312"/>
                <w:b/>
                <w:bCs/>
                <w:sz w:val="21"/>
                <w:szCs w:val="21"/>
              </w:rPr>
              <w:t xml:space="preserve">                </w:t>
            </w:r>
            <w:r>
              <w:rPr>
                <w:rFonts w:hint="eastAsia" w:ascii="宋体" w:hAnsi="宋体" w:cs="宋体"/>
                <w:b/>
                <w:bCs/>
                <w:sz w:val="21"/>
                <w:szCs w:val="21"/>
              </w:rPr>
              <w:t>四平市重点开采矿种矿山数量和开采总量一览表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vMerge w:val="restart"/>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序号</w:t>
            </w:r>
          </w:p>
        </w:tc>
        <w:tc>
          <w:tcPr>
            <w:tcW w:w="2126" w:type="dxa"/>
            <w:vMerge w:val="restart"/>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矿种</w:t>
            </w:r>
          </w:p>
        </w:tc>
        <w:tc>
          <w:tcPr>
            <w:tcW w:w="1134" w:type="dxa"/>
            <w:vMerge w:val="restart"/>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产量单位</w:t>
            </w:r>
          </w:p>
        </w:tc>
        <w:tc>
          <w:tcPr>
            <w:tcW w:w="1984" w:type="dxa"/>
            <w:gridSpan w:val="2"/>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2020</w:t>
            </w:r>
            <w:r>
              <w:rPr>
                <w:rFonts w:hint="eastAsia" w:ascii="宋体" w:hAnsi="宋体" w:cs="宋体"/>
                <w:sz w:val="21"/>
                <w:szCs w:val="21"/>
              </w:rPr>
              <w:t>年</w:t>
            </w:r>
          </w:p>
        </w:tc>
        <w:tc>
          <w:tcPr>
            <w:tcW w:w="1985" w:type="dxa"/>
            <w:gridSpan w:val="2"/>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2025</w:t>
            </w:r>
            <w:r>
              <w:rPr>
                <w:rFonts w:hint="eastAsia" w:ascii="宋体" w:hAnsi="宋体" w:cs="宋体"/>
                <w:sz w:val="21"/>
                <w:szCs w:val="21"/>
              </w:rPr>
              <w:t>年</w:t>
            </w:r>
          </w:p>
        </w:tc>
        <w:tc>
          <w:tcPr>
            <w:tcW w:w="1523" w:type="dxa"/>
            <w:vMerge w:val="restart"/>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调控指标类型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4" w:type="dxa"/>
            <w:vMerge w:val="continue"/>
            <w:shd w:val="clear" w:color="auto" w:fill="auto"/>
            <w:vAlign w:val="center"/>
          </w:tcPr>
          <w:p>
            <w:pPr>
              <w:spacing w:line="240" w:lineRule="auto"/>
              <w:ind w:firstLine="0" w:firstLineChars="0"/>
              <w:jc w:val="center"/>
              <w:rPr>
                <w:rFonts w:ascii="??_GB2312" w:hAnsi="??_GB2312" w:cs="??_GB2312"/>
                <w:sz w:val="21"/>
                <w:szCs w:val="21"/>
              </w:rPr>
            </w:pPr>
          </w:p>
        </w:tc>
        <w:tc>
          <w:tcPr>
            <w:tcW w:w="2126" w:type="dxa"/>
            <w:vMerge w:val="continue"/>
            <w:shd w:val="clear" w:color="auto" w:fill="auto"/>
            <w:vAlign w:val="center"/>
          </w:tcPr>
          <w:p>
            <w:pPr>
              <w:spacing w:line="240" w:lineRule="auto"/>
              <w:ind w:firstLine="0" w:firstLineChars="0"/>
              <w:jc w:val="center"/>
              <w:rPr>
                <w:rFonts w:ascii="??_GB2312" w:hAnsi="??_GB2312" w:cs="??_GB2312"/>
                <w:sz w:val="21"/>
                <w:szCs w:val="21"/>
              </w:rPr>
            </w:pPr>
          </w:p>
        </w:tc>
        <w:tc>
          <w:tcPr>
            <w:tcW w:w="1134" w:type="dxa"/>
            <w:vMerge w:val="continue"/>
            <w:shd w:val="clear" w:color="auto" w:fill="auto"/>
            <w:vAlign w:val="center"/>
          </w:tcPr>
          <w:p>
            <w:pPr>
              <w:spacing w:line="240" w:lineRule="auto"/>
              <w:ind w:firstLine="0" w:firstLineChars="0"/>
              <w:jc w:val="center"/>
              <w:rPr>
                <w:rFonts w:ascii="??_GB2312" w:hAnsi="??_GB2312" w:cs="??_GB2312"/>
                <w:sz w:val="21"/>
                <w:szCs w:val="21"/>
              </w:rPr>
            </w:pPr>
          </w:p>
        </w:tc>
        <w:tc>
          <w:tcPr>
            <w:tcW w:w="992" w:type="dxa"/>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产量</w:t>
            </w:r>
          </w:p>
        </w:tc>
        <w:tc>
          <w:tcPr>
            <w:tcW w:w="992" w:type="dxa"/>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矿山数</w:t>
            </w:r>
          </w:p>
        </w:tc>
        <w:tc>
          <w:tcPr>
            <w:tcW w:w="993" w:type="dxa"/>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产量</w:t>
            </w:r>
          </w:p>
        </w:tc>
        <w:tc>
          <w:tcPr>
            <w:tcW w:w="992" w:type="dxa"/>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矿山数</w:t>
            </w:r>
          </w:p>
        </w:tc>
        <w:tc>
          <w:tcPr>
            <w:tcW w:w="1523" w:type="dxa"/>
            <w:vMerge w:val="continue"/>
            <w:shd w:val="clear" w:color="auto" w:fill="auto"/>
            <w:vAlign w:val="center"/>
          </w:tcPr>
          <w:p>
            <w:pPr>
              <w:spacing w:line="240" w:lineRule="auto"/>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1</w:t>
            </w:r>
          </w:p>
        </w:tc>
        <w:tc>
          <w:tcPr>
            <w:tcW w:w="2126" w:type="dxa"/>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硅灰石</w:t>
            </w:r>
          </w:p>
        </w:tc>
        <w:tc>
          <w:tcPr>
            <w:tcW w:w="1134" w:type="dxa"/>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kern w:val="0"/>
                <w:sz w:val="21"/>
                <w:szCs w:val="21"/>
              </w:rPr>
              <w:t>万吨</w:t>
            </w:r>
          </w:p>
        </w:tc>
        <w:tc>
          <w:tcPr>
            <w:tcW w:w="992" w:type="dxa"/>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5.48</w:t>
            </w:r>
          </w:p>
        </w:tc>
        <w:tc>
          <w:tcPr>
            <w:tcW w:w="992" w:type="dxa"/>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2</w:t>
            </w:r>
          </w:p>
        </w:tc>
        <w:tc>
          <w:tcPr>
            <w:tcW w:w="993" w:type="dxa"/>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20</w:t>
            </w:r>
          </w:p>
        </w:tc>
        <w:tc>
          <w:tcPr>
            <w:tcW w:w="992" w:type="dxa"/>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2</w:t>
            </w:r>
          </w:p>
        </w:tc>
        <w:tc>
          <w:tcPr>
            <w:tcW w:w="1523" w:type="dxa"/>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4" w:type="dxa"/>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r>
              <w:rPr>
                <w:rFonts w:ascii="??_GB2312" w:hAnsi="??_GB2312" w:cs="??_GB2312"/>
                <w:kern w:val="0"/>
                <w:sz w:val="21"/>
                <w:szCs w:val="21"/>
              </w:rPr>
              <w:t>2</w:t>
            </w:r>
          </w:p>
        </w:tc>
        <w:tc>
          <w:tcPr>
            <w:tcW w:w="2126" w:type="dxa"/>
            <w:tcBorders>
              <w:bottom w:val="single" w:color="auto" w:sz="12" w:space="0"/>
            </w:tcBorders>
            <w:shd w:val="clear" w:color="auto" w:fill="auto"/>
            <w:vAlign w:val="center"/>
          </w:tcPr>
          <w:p>
            <w:pPr>
              <w:spacing w:line="240" w:lineRule="auto"/>
              <w:ind w:firstLine="0" w:firstLineChars="0"/>
              <w:jc w:val="center"/>
              <w:rPr>
                <w:rFonts w:ascii="??_GB2312" w:hAnsi="??_GB2312" w:cs="??_GB2312"/>
                <w:kern w:val="0"/>
                <w:sz w:val="21"/>
                <w:szCs w:val="21"/>
              </w:rPr>
            </w:pPr>
            <w:r>
              <w:rPr>
                <w:rFonts w:hint="eastAsia" w:ascii="宋体" w:hAnsi="宋体" w:cs="宋体"/>
                <w:kern w:val="0"/>
                <w:sz w:val="21"/>
                <w:szCs w:val="21"/>
              </w:rPr>
              <w:t>水泥用灰岩（大理岩）</w:t>
            </w:r>
          </w:p>
        </w:tc>
        <w:tc>
          <w:tcPr>
            <w:tcW w:w="1134" w:type="dxa"/>
            <w:tcBorders>
              <w:bottom w:val="single" w:color="auto" w:sz="12" w:space="0"/>
            </w:tcBorders>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kern w:val="0"/>
                <w:sz w:val="21"/>
                <w:szCs w:val="21"/>
              </w:rPr>
              <w:t>万吨</w:t>
            </w:r>
          </w:p>
        </w:tc>
        <w:tc>
          <w:tcPr>
            <w:tcW w:w="992" w:type="dxa"/>
            <w:tcBorders>
              <w:bottom w:val="single" w:color="auto" w:sz="12" w:space="0"/>
            </w:tcBorders>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120</w:t>
            </w:r>
          </w:p>
        </w:tc>
        <w:tc>
          <w:tcPr>
            <w:tcW w:w="992" w:type="dxa"/>
            <w:tcBorders>
              <w:bottom w:val="single" w:color="auto" w:sz="12" w:space="0"/>
            </w:tcBorders>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5</w:t>
            </w:r>
          </w:p>
        </w:tc>
        <w:tc>
          <w:tcPr>
            <w:tcW w:w="993" w:type="dxa"/>
            <w:tcBorders>
              <w:bottom w:val="single" w:color="auto" w:sz="12" w:space="0"/>
            </w:tcBorders>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300</w:t>
            </w:r>
          </w:p>
        </w:tc>
        <w:tc>
          <w:tcPr>
            <w:tcW w:w="992" w:type="dxa"/>
            <w:tcBorders>
              <w:bottom w:val="single" w:color="auto" w:sz="12" w:space="0"/>
            </w:tcBorders>
            <w:shd w:val="clear" w:color="auto" w:fill="auto"/>
            <w:vAlign w:val="center"/>
          </w:tcPr>
          <w:p>
            <w:pPr>
              <w:spacing w:line="240" w:lineRule="auto"/>
              <w:ind w:firstLine="0" w:firstLineChars="0"/>
              <w:jc w:val="center"/>
              <w:rPr>
                <w:rFonts w:ascii="??_GB2312" w:hAnsi="??_GB2312" w:cs="??_GB2312"/>
                <w:sz w:val="21"/>
                <w:szCs w:val="21"/>
              </w:rPr>
            </w:pPr>
            <w:r>
              <w:rPr>
                <w:rFonts w:ascii="??_GB2312" w:hAnsi="??_GB2312" w:cs="??_GB2312"/>
                <w:sz w:val="21"/>
                <w:szCs w:val="21"/>
              </w:rPr>
              <w:t>7</w:t>
            </w:r>
          </w:p>
        </w:tc>
        <w:tc>
          <w:tcPr>
            <w:tcW w:w="1523" w:type="dxa"/>
            <w:tcBorders>
              <w:bottom w:val="single" w:color="auto" w:sz="12" w:space="0"/>
            </w:tcBorders>
            <w:shd w:val="clear" w:color="auto" w:fill="auto"/>
            <w:vAlign w:val="center"/>
          </w:tcPr>
          <w:p>
            <w:pPr>
              <w:spacing w:line="240" w:lineRule="auto"/>
              <w:ind w:firstLine="0" w:firstLineChars="0"/>
              <w:jc w:val="center"/>
              <w:rPr>
                <w:rFonts w:ascii="??_GB2312" w:hAnsi="??_GB2312" w:cs="??_GB2312"/>
                <w:sz w:val="21"/>
                <w:szCs w:val="21"/>
              </w:rPr>
            </w:pPr>
            <w:r>
              <w:rPr>
                <w:rFonts w:hint="eastAsia" w:ascii="宋体" w:hAnsi="宋体" w:cs="宋体"/>
                <w:sz w:val="21"/>
                <w:szCs w:val="21"/>
              </w:rPr>
              <w:t>预期性</w:t>
            </w:r>
          </w:p>
        </w:tc>
      </w:tr>
    </w:tbl>
    <w:p>
      <w:pPr>
        <w:pStyle w:val="5"/>
        <w:ind w:firstLine="0" w:firstLineChars="0"/>
        <w:rPr>
          <w:rFonts w:ascii="??_GB2312" w:hAnsi="??_GB2312" w:cs="??_GB2312"/>
        </w:rPr>
      </w:pPr>
      <w:bookmarkStart w:id="64" w:name="_Toc109202912"/>
      <w:bookmarkStart w:id="65" w:name="_Toc109168669"/>
      <w:bookmarkStart w:id="66" w:name="_Toc109168951"/>
      <w:bookmarkStart w:id="67" w:name="_Toc830"/>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优化开发利用结构</w:t>
      </w:r>
      <w:bookmarkEnd w:id="64"/>
      <w:bookmarkEnd w:id="65"/>
      <w:bookmarkEnd w:id="66"/>
      <w:bookmarkEnd w:id="67"/>
    </w:p>
    <w:p>
      <w:pPr>
        <w:spacing w:line="500" w:lineRule="exact"/>
        <w:ind w:firstLine="562"/>
        <w:rPr>
          <w:rFonts w:ascii="??_GB2312" w:hAnsi="??_GB2312" w:cs="??_GB2312"/>
        </w:rPr>
      </w:pPr>
      <w:r>
        <w:rPr>
          <w:rFonts w:hint="eastAsia" w:ascii="宋体" w:hAnsi="宋体" w:cs="宋体"/>
          <w:b/>
          <w:bCs/>
        </w:rPr>
        <w:t>确定主要矿种矿山最低开采规模</w:t>
      </w:r>
      <w:r>
        <w:rPr>
          <w:rFonts w:hint="eastAsia" w:ascii="宋体" w:hAnsi="宋体" w:cs="宋体"/>
        </w:rPr>
        <w:t>。在省规划确定的矿山最低开采规模指导下，为合理利用矿产资源，发挥优势矿产资源在经济建设中的作用，确定四平市主要矿种矿山最低开采规模</w:t>
      </w:r>
      <w:r>
        <w:rPr>
          <w:rFonts w:ascii="??_GB2312" w:hAnsi="??_GB2312" w:cs="??_GB2312"/>
        </w:rPr>
        <w:t>(</w:t>
      </w:r>
      <w:r>
        <w:rPr>
          <w:rFonts w:hint="eastAsia" w:ascii="宋体" w:hAnsi="宋体" w:cs="宋体"/>
        </w:rPr>
        <w:t>专栏</w:t>
      </w:r>
      <w:r>
        <w:rPr>
          <w:rFonts w:hint="eastAsia" w:ascii="宋体" w:hAnsi="宋体" w:cs="宋体"/>
          <w:lang w:val="en-US" w:eastAsia="zh-CN"/>
        </w:rPr>
        <w:t>6</w:t>
      </w:r>
      <w:r>
        <w:rPr>
          <w:rFonts w:ascii="??_GB2312" w:hAnsi="??_GB2312" w:cs="??_GB2312"/>
        </w:rPr>
        <w:t>)</w:t>
      </w:r>
      <w:r>
        <w:rPr>
          <w:rFonts w:hint="eastAsia" w:ascii="宋体" w:hAnsi="宋体" w:cs="宋体"/>
        </w:rPr>
        <w:t>。</w:t>
      </w:r>
    </w:p>
    <w:tbl>
      <w:tblPr>
        <w:tblStyle w:val="20"/>
        <w:tblW w:w="9280"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184"/>
        <w:gridCol w:w="1451"/>
        <w:gridCol w:w="726"/>
        <w:gridCol w:w="726"/>
        <w:gridCol w:w="725"/>
        <w:gridCol w:w="2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280" w:type="dxa"/>
            <w:gridSpan w:val="7"/>
            <w:tcBorders>
              <w:top w:val="single" w:color="auto" w:sz="12" w:space="0"/>
            </w:tcBorders>
            <w:shd w:val="clear" w:color="auto" w:fill="auto"/>
            <w:vAlign w:val="center"/>
          </w:tcPr>
          <w:p>
            <w:pPr>
              <w:tabs>
                <w:tab w:val="left" w:pos="426"/>
              </w:tabs>
              <w:spacing w:line="240" w:lineRule="auto"/>
              <w:ind w:firstLine="0" w:firstLineChars="0"/>
              <w:rPr>
                <w:rFonts w:ascii="??_GB2312" w:hAnsi="??_GB2312" w:cs="??_GB2312"/>
                <w:sz w:val="21"/>
                <w:szCs w:val="21"/>
              </w:rPr>
            </w:pPr>
            <w:r>
              <w:rPr>
                <w:rFonts w:hint="eastAsia" w:ascii="宋体" w:hAnsi="宋体" w:cs="宋体"/>
                <w:b/>
                <w:bCs/>
                <w:sz w:val="21"/>
                <w:szCs w:val="21"/>
              </w:rPr>
              <w:t>专栏</w:t>
            </w:r>
            <w:r>
              <w:rPr>
                <w:rFonts w:hint="eastAsia" w:ascii="宋体" w:hAnsi="宋体" w:cs="宋体"/>
                <w:b/>
                <w:bCs/>
                <w:sz w:val="21"/>
                <w:szCs w:val="21"/>
                <w:lang w:val="en-US" w:eastAsia="zh-CN"/>
              </w:rPr>
              <w:t>6</w:t>
            </w:r>
            <w:r>
              <w:rPr>
                <w:rFonts w:ascii="??_GB2312" w:hAnsi="??_GB2312" w:cs="??_GB2312"/>
                <w:b/>
                <w:bCs/>
                <w:sz w:val="21"/>
                <w:szCs w:val="21"/>
              </w:rPr>
              <w:t xml:space="preserve">                       </w:t>
            </w:r>
            <w:r>
              <w:rPr>
                <w:rFonts w:hint="eastAsia" w:ascii="宋体" w:hAnsi="宋体" w:cs="宋体"/>
                <w:b/>
                <w:bCs/>
                <w:sz w:val="21"/>
                <w:szCs w:val="21"/>
              </w:rPr>
              <w:t>四平市矿山最低开采规模规划表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85" w:type="dxa"/>
            <w:vMerge w:val="restart"/>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序号</w:t>
            </w:r>
          </w:p>
        </w:tc>
        <w:tc>
          <w:tcPr>
            <w:tcW w:w="2184" w:type="dxa"/>
            <w:vMerge w:val="restart"/>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矿种名称</w:t>
            </w:r>
          </w:p>
        </w:tc>
        <w:tc>
          <w:tcPr>
            <w:tcW w:w="1451" w:type="dxa"/>
            <w:vMerge w:val="restart"/>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单位</w:t>
            </w:r>
          </w:p>
        </w:tc>
        <w:tc>
          <w:tcPr>
            <w:tcW w:w="2177" w:type="dxa"/>
            <w:gridSpan w:val="3"/>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矿山最低开采规模</w:t>
            </w:r>
          </w:p>
        </w:tc>
        <w:tc>
          <w:tcPr>
            <w:tcW w:w="2783" w:type="dxa"/>
            <w:vMerge w:val="restart"/>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85" w:type="dxa"/>
            <w:vMerge w:val="continue"/>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c>
          <w:tcPr>
            <w:tcW w:w="2184" w:type="dxa"/>
            <w:vMerge w:val="continue"/>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c>
          <w:tcPr>
            <w:tcW w:w="1451" w:type="dxa"/>
            <w:vMerge w:val="continue"/>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大型</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中型</w:t>
            </w:r>
          </w:p>
        </w:tc>
        <w:tc>
          <w:tcPr>
            <w:tcW w:w="72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小型</w:t>
            </w:r>
          </w:p>
        </w:tc>
        <w:tc>
          <w:tcPr>
            <w:tcW w:w="2783" w:type="dxa"/>
            <w:vMerge w:val="continue"/>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8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1</w:t>
            </w:r>
          </w:p>
        </w:tc>
        <w:tc>
          <w:tcPr>
            <w:tcW w:w="2184"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银</w:t>
            </w:r>
          </w:p>
        </w:tc>
        <w:tc>
          <w:tcPr>
            <w:tcW w:w="1451"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矿石万吨</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w:t>
            </w:r>
          </w:p>
        </w:tc>
        <w:tc>
          <w:tcPr>
            <w:tcW w:w="725" w:type="dxa"/>
            <w:shd w:val="clear" w:color="auto" w:fill="auto"/>
            <w:vAlign w:val="center"/>
          </w:tcPr>
          <w:p>
            <w:pPr>
              <w:tabs>
                <w:tab w:val="left" w:pos="426"/>
              </w:tabs>
              <w:spacing w:line="240" w:lineRule="auto"/>
              <w:ind w:firstLine="0" w:firstLineChars="0"/>
              <w:jc w:val="center"/>
              <w:rPr>
                <w:rFonts w:ascii="??_GB2312" w:hAnsi="??_GB2312" w:cs="??_GB2312"/>
                <w:sz w:val="21"/>
                <w:szCs w:val="21"/>
                <w:highlight w:val="yellow"/>
              </w:rPr>
            </w:pPr>
            <w:r>
              <w:rPr>
                <w:rFonts w:ascii="??_GB2312" w:hAnsi="??_GB2312" w:cs="??_GB2312"/>
                <w:sz w:val="21"/>
                <w:szCs w:val="21"/>
              </w:rPr>
              <w:t>20</w:t>
            </w:r>
          </w:p>
        </w:tc>
        <w:tc>
          <w:tcPr>
            <w:tcW w:w="2783"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8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2</w:t>
            </w:r>
          </w:p>
        </w:tc>
        <w:tc>
          <w:tcPr>
            <w:tcW w:w="2184"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硅灰石</w:t>
            </w:r>
          </w:p>
        </w:tc>
        <w:tc>
          <w:tcPr>
            <w:tcW w:w="1451"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矿石万吨</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5</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2</w:t>
            </w:r>
          </w:p>
        </w:tc>
        <w:tc>
          <w:tcPr>
            <w:tcW w:w="72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1</w:t>
            </w:r>
          </w:p>
        </w:tc>
        <w:tc>
          <w:tcPr>
            <w:tcW w:w="2783"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3</w:t>
            </w:r>
          </w:p>
        </w:tc>
        <w:tc>
          <w:tcPr>
            <w:tcW w:w="2184"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水泥用灰岩</w:t>
            </w:r>
          </w:p>
        </w:tc>
        <w:tc>
          <w:tcPr>
            <w:tcW w:w="1451"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矿石万吨</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100</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50</w:t>
            </w:r>
          </w:p>
        </w:tc>
        <w:tc>
          <w:tcPr>
            <w:tcW w:w="72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30</w:t>
            </w:r>
          </w:p>
        </w:tc>
        <w:tc>
          <w:tcPr>
            <w:tcW w:w="2783"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8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4</w:t>
            </w:r>
          </w:p>
        </w:tc>
        <w:tc>
          <w:tcPr>
            <w:tcW w:w="2184"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水泥用大理石</w:t>
            </w:r>
          </w:p>
        </w:tc>
        <w:tc>
          <w:tcPr>
            <w:tcW w:w="1451"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矿石万吨</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100</w:t>
            </w:r>
          </w:p>
        </w:tc>
        <w:tc>
          <w:tcPr>
            <w:tcW w:w="726"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50</w:t>
            </w:r>
          </w:p>
        </w:tc>
        <w:tc>
          <w:tcPr>
            <w:tcW w:w="725"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30</w:t>
            </w:r>
          </w:p>
        </w:tc>
        <w:tc>
          <w:tcPr>
            <w:tcW w:w="2783" w:type="dxa"/>
            <w:shd w:val="clear" w:color="auto" w:fill="auto"/>
            <w:vAlign w:val="center"/>
          </w:tcPr>
          <w:p>
            <w:pPr>
              <w:tabs>
                <w:tab w:val="left" w:pos="426"/>
              </w:tabs>
              <w:spacing w:line="240" w:lineRule="auto"/>
              <w:ind w:firstLine="0" w:firstLineChars="0"/>
              <w:jc w:val="center"/>
              <w:rPr>
                <w:rFonts w:ascii="??_GB2312" w:hAnsi="??_GB2312" w:cs="??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85" w:type="dxa"/>
            <w:tcBorders>
              <w:bottom w:val="single" w:color="auto" w:sz="12" w:space="0"/>
            </w:tcBorders>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5</w:t>
            </w:r>
          </w:p>
        </w:tc>
        <w:tc>
          <w:tcPr>
            <w:tcW w:w="2184" w:type="dxa"/>
            <w:tcBorders>
              <w:bottom w:val="single" w:color="auto" w:sz="12" w:space="0"/>
            </w:tcBorders>
            <w:shd w:val="clear" w:color="auto" w:fill="auto"/>
            <w:vAlign w:val="center"/>
          </w:tcPr>
          <w:p>
            <w:pPr>
              <w:widowControl/>
              <w:spacing w:line="240" w:lineRule="auto"/>
              <w:ind w:firstLine="0" w:firstLineChars="0"/>
              <w:jc w:val="center"/>
              <w:rPr>
                <w:rFonts w:ascii="??_GB2312" w:hAnsi="??_GB2312" w:cs="??_GB2312"/>
                <w:color w:val="000000"/>
                <w:sz w:val="21"/>
                <w:szCs w:val="21"/>
              </w:rPr>
            </w:pPr>
            <w:r>
              <w:rPr>
                <w:rFonts w:hint="eastAsia" w:ascii="宋体" w:hAnsi="宋体" w:cs="宋体"/>
                <w:color w:val="000000"/>
                <w:sz w:val="21"/>
                <w:szCs w:val="21"/>
              </w:rPr>
              <w:t>建筑用石料</w:t>
            </w:r>
          </w:p>
        </w:tc>
        <w:tc>
          <w:tcPr>
            <w:tcW w:w="1451" w:type="dxa"/>
            <w:tcBorders>
              <w:bottom w:val="single" w:color="auto" w:sz="12" w:space="0"/>
            </w:tcBorders>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hint="eastAsia" w:ascii="宋体" w:hAnsi="宋体" w:cs="宋体"/>
                <w:sz w:val="21"/>
                <w:szCs w:val="21"/>
              </w:rPr>
              <w:t>万立方米</w:t>
            </w:r>
            <w:r>
              <w:rPr>
                <w:rFonts w:ascii="??_GB2312" w:hAnsi="??_GB2312" w:cs="??_GB2312"/>
                <w:sz w:val="21"/>
                <w:szCs w:val="21"/>
              </w:rPr>
              <w:t>/</w:t>
            </w:r>
            <w:r>
              <w:rPr>
                <w:rFonts w:hint="eastAsia" w:ascii="宋体" w:hAnsi="宋体" w:cs="宋体"/>
                <w:sz w:val="21"/>
                <w:szCs w:val="21"/>
              </w:rPr>
              <w:t>年</w:t>
            </w:r>
          </w:p>
        </w:tc>
        <w:tc>
          <w:tcPr>
            <w:tcW w:w="726" w:type="dxa"/>
            <w:tcBorders>
              <w:bottom w:val="single" w:color="auto" w:sz="12" w:space="0"/>
            </w:tcBorders>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30</w:t>
            </w:r>
          </w:p>
        </w:tc>
        <w:tc>
          <w:tcPr>
            <w:tcW w:w="726" w:type="dxa"/>
            <w:tcBorders>
              <w:bottom w:val="single" w:color="auto" w:sz="12" w:space="0"/>
            </w:tcBorders>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w:t>
            </w:r>
          </w:p>
        </w:tc>
        <w:tc>
          <w:tcPr>
            <w:tcW w:w="725" w:type="dxa"/>
            <w:tcBorders>
              <w:bottom w:val="single" w:color="auto" w:sz="12" w:space="0"/>
            </w:tcBorders>
            <w:shd w:val="clear" w:color="auto" w:fill="auto"/>
            <w:vAlign w:val="center"/>
          </w:tcPr>
          <w:p>
            <w:pPr>
              <w:tabs>
                <w:tab w:val="left" w:pos="426"/>
              </w:tabs>
              <w:spacing w:line="240" w:lineRule="auto"/>
              <w:ind w:firstLine="0" w:firstLineChars="0"/>
              <w:jc w:val="center"/>
              <w:rPr>
                <w:rFonts w:ascii="??_GB2312" w:hAnsi="??_GB2312" w:cs="??_GB2312"/>
                <w:sz w:val="21"/>
                <w:szCs w:val="21"/>
              </w:rPr>
            </w:pPr>
            <w:r>
              <w:rPr>
                <w:rFonts w:ascii="??_GB2312" w:hAnsi="??_GB2312" w:cs="??_GB2312"/>
                <w:sz w:val="21"/>
                <w:szCs w:val="21"/>
              </w:rPr>
              <w:t>-</w:t>
            </w:r>
          </w:p>
        </w:tc>
        <w:tc>
          <w:tcPr>
            <w:tcW w:w="2783" w:type="dxa"/>
            <w:tcBorders>
              <w:bottom w:val="single" w:color="auto" w:sz="12" w:space="0"/>
            </w:tcBorders>
            <w:shd w:val="clear" w:color="auto" w:fill="auto"/>
            <w:vAlign w:val="center"/>
          </w:tcPr>
          <w:p>
            <w:pPr>
              <w:tabs>
                <w:tab w:val="left" w:pos="426"/>
              </w:tabs>
              <w:spacing w:line="240" w:lineRule="auto"/>
              <w:ind w:firstLine="0" w:firstLineChars="0"/>
              <w:rPr>
                <w:rFonts w:ascii="??_GB2312" w:hAnsi="??_GB2312" w:cs="??_GB2312"/>
                <w:sz w:val="21"/>
                <w:szCs w:val="21"/>
              </w:rPr>
            </w:pPr>
            <w:r>
              <w:rPr>
                <w:rFonts w:hint="eastAsia" w:ascii="宋体" w:hAnsi="宋体" w:cs="宋体"/>
                <w:sz w:val="21"/>
                <w:szCs w:val="21"/>
              </w:rPr>
              <w:t>建筑用玄武岩、建筑用安山岩、建筑用闪长岩、建筑用花岗岩、建筑用大理岩</w:t>
            </w:r>
          </w:p>
        </w:tc>
      </w:tr>
    </w:tbl>
    <w:p>
      <w:pPr>
        <w:spacing w:line="500" w:lineRule="exact"/>
        <w:ind w:firstLine="562"/>
        <w:rPr>
          <w:rFonts w:ascii="??_GB2312" w:hAnsi="??_GB2312" w:cs="??_GB2312"/>
          <w:b/>
          <w:bCs/>
        </w:rPr>
      </w:pPr>
      <w:r>
        <w:rPr>
          <w:rFonts w:hint="eastAsia" w:ascii="宋体" w:hAnsi="宋体" w:cs="宋体"/>
          <w:b/>
          <w:bCs/>
        </w:rPr>
        <w:t>矿山规模结构。</w:t>
      </w:r>
      <w:r>
        <w:rPr>
          <w:rFonts w:hint="eastAsia" w:ascii="宋体" w:hAnsi="宋体" w:cs="宋体"/>
        </w:rPr>
        <w:t>以资源禀赋情况和开发利用为基础，以全面提升竞争力为目标，以政策引导为手段，综合考虑产业布局，调整大、中、小型矿山比例。以建筑用石料矿山为重点，积极推进矿山企业兼并重组，培育大型骨干矿山企业，促进资源利用规模化集约化。到</w:t>
      </w:r>
      <w:r>
        <w:rPr>
          <w:rFonts w:ascii="??_GB2312" w:hAnsi="??_GB2312" w:cs="??_GB2312"/>
        </w:rPr>
        <w:t>2025</w:t>
      </w:r>
      <w:r>
        <w:rPr>
          <w:rFonts w:hint="eastAsia" w:ascii="宋体" w:hAnsi="宋体" w:cs="宋体"/>
        </w:rPr>
        <w:t>年，全市大中型矿山比例不低于</w:t>
      </w:r>
      <w:r>
        <w:rPr>
          <w:rFonts w:ascii="??_GB2312" w:hAnsi="??_GB2312" w:cs="??_GB2312"/>
        </w:rPr>
        <w:t>50%</w:t>
      </w:r>
      <w:r>
        <w:rPr>
          <w:rFonts w:hint="eastAsia" w:ascii="宋体" w:hAnsi="宋体" w:cs="宋体"/>
        </w:rPr>
        <w:t>。</w:t>
      </w:r>
    </w:p>
    <w:p>
      <w:pPr>
        <w:spacing w:line="500" w:lineRule="exact"/>
        <w:ind w:firstLine="562"/>
        <w:rPr>
          <w:rFonts w:ascii="??_GB2312" w:hAnsi="??_GB2312" w:cs="??_GB2312"/>
          <w:b/>
          <w:bCs/>
        </w:rPr>
      </w:pPr>
      <w:r>
        <w:rPr>
          <w:rFonts w:hint="eastAsia" w:ascii="宋体" w:hAnsi="宋体" w:cs="宋体"/>
          <w:b/>
          <w:bCs/>
        </w:rPr>
        <w:t>矿产品结构。</w:t>
      </w:r>
      <w:r>
        <w:rPr>
          <w:rFonts w:hint="eastAsia" w:ascii="宋体" w:hAnsi="宋体" w:cs="宋体"/>
        </w:rPr>
        <w:t>针对四平市硅灰石、建筑用石料矿业产品与开发技术特点，结合市场需求变化，加快矿山开采、选矿、加工工艺的升级改造。加大科技创新力度，不断提升矿产品的深加工水平，促进矿产品由低附加值向高附加值转变。</w:t>
      </w:r>
    </w:p>
    <w:p>
      <w:pPr>
        <w:spacing w:line="500" w:lineRule="exact"/>
        <w:ind w:firstLine="560"/>
        <w:rPr>
          <w:rFonts w:ascii="??_GB2312" w:hAnsi="??_GB2312" w:cs="??_GB2312"/>
        </w:rPr>
      </w:pPr>
      <w:r>
        <w:rPr>
          <w:rFonts w:hint="eastAsia" w:ascii="宋体" w:hAnsi="宋体" w:cs="宋体"/>
        </w:rPr>
        <w:t>硅灰石：鼓励硅灰石向建材、橡胶、摩擦材料、绝缘材料等应用方面进行深加工，延长硅灰石产业链，提高矿产品附加值。</w:t>
      </w:r>
    </w:p>
    <w:p>
      <w:pPr>
        <w:spacing w:line="500" w:lineRule="exact"/>
        <w:ind w:firstLine="560"/>
        <w:rPr>
          <w:rFonts w:ascii="??_GB2312" w:hAnsi="??_GB2312" w:cs="??_GB2312"/>
        </w:rPr>
      </w:pPr>
      <w:r>
        <w:rPr>
          <w:rFonts w:hint="eastAsia" w:ascii="宋体" w:hAnsi="宋体" w:cs="宋体"/>
        </w:rPr>
        <w:t>建筑用石料：积极推动建筑用石料向建筑构件、混凝土等成品化方向延伸发展。鼓励利用矿山废石生产机制砂石，提高综合利用水平。</w:t>
      </w:r>
    </w:p>
    <w:p>
      <w:pPr>
        <w:pStyle w:val="5"/>
        <w:ind w:firstLine="0" w:firstLineChars="0"/>
        <w:rPr>
          <w:rFonts w:ascii="??_GB2312" w:hAnsi="??_GB2312" w:cs="??_GB2312"/>
        </w:rPr>
      </w:pPr>
      <w:bookmarkStart w:id="68" w:name="_Toc109168952"/>
      <w:bookmarkStart w:id="69" w:name="_Toc109168670"/>
      <w:bookmarkStart w:id="70" w:name="_Toc109202913"/>
      <w:bookmarkStart w:id="71" w:name="_Toc7157"/>
      <w:r>
        <w:rPr>
          <w:rFonts w:hint="eastAsia" w:ascii="宋体" w:hAnsi="宋体" w:eastAsia="宋体" w:cs="宋体"/>
        </w:rPr>
        <w:t>第三节</w:t>
      </w:r>
      <w:r>
        <w:rPr>
          <w:rFonts w:ascii="??_GB2312" w:hAnsi="??_GB2312" w:cs="??_GB2312"/>
        </w:rPr>
        <w:t xml:space="preserve"> </w:t>
      </w:r>
      <w:r>
        <w:rPr>
          <w:rFonts w:hint="eastAsia" w:ascii="宋体" w:hAnsi="宋体" w:eastAsia="宋体" w:cs="宋体"/>
        </w:rPr>
        <w:t>严格规划准入管理</w:t>
      </w:r>
      <w:bookmarkEnd w:id="68"/>
      <w:bookmarkEnd w:id="69"/>
      <w:bookmarkEnd w:id="70"/>
      <w:bookmarkEnd w:id="71"/>
    </w:p>
    <w:p>
      <w:pPr>
        <w:spacing w:line="500" w:lineRule="exact"/>
        <w:ind w:firstLine="560"/>
        <w:rPr>
          <w:rFonts w:ascii="??_GB2312" w:hAnsi="??_GB2312" w:cs="??_GB2312"/>
        </w:rPr>
      </w:pPr>
      <w:r>
        <w:rPr>
          <w:rFonts w:hint="eastAsia" w:ascii="宋体" w:hAnsi="宋体" w:cs="宋体"/>
        </w:rPr>
        <w:t>为合理、高效利用矿产资源，进一步规范矿产资源勘查开发秩序，强化资源市场配置和创造良好的矿业权交易环境，加强矿产资源勘查开发规划管理，在绿色勘查、开采规模、绿色矿山建设和矿区生态保护修复方面设置准入条件。</w:t>
      </w:r>
    </w:p>
    <w:p>
      <w:pPr>
        <w:spacing w:line="500" w:lineRule="exact"/>
        <w:ind w:firstLine="562"/>
        <w:rPr>
          <w:rFonts w:ascii="??_GB2312" w:hAnsi="??_GB2312" w:cs="??_GB2312"/>
        </w:rPr>
      </w:pPr>
      <w:r>
        <w:rPr>
          <w:rFonts w:hint="eastAsia" w:ascii="宋体" w:hAnsi="宋体" w:cs="宋体"/>
          <w:b/>
          <w:bCs/>
        </w:rPr>
        <w:t>绿色勘查准入条件。</w:t>
      </w:r>
      <w:r>
        <w:rPr>
          <w:rFonts w:hint="eastAsia" w:ascii="宋体" w:hAnsi="宋体" w:cs="宋体"/>
        </w:rPr>
        <w:t>取得勘查许可证前，在勘查实施方案中编写绿色勘查章节，同时编制环境恢复治理与土地复垦方案（表），项目工程实施完成后按环境恢复治理与土地复垦方案（表）完成破坏土地恢复治理和土地复垦工作。</w:t>
      </w:r>
    </w:p>
    <w:p>
      <w:pPr>
        <w:spacing w:line="500" w:lineRule="exact"/>
        <w:ind w:firstLine="562"/>
        <w:rPr>
          <w:rFonts w:ascii="??_GB2312" w:hAnsi="??_GB2312" w:cs="??_GB2312"/>
        </w:rPr>
      </w:pPr>
      <w:r>
        <w:rPr>
          <w:rFonts w:hint="eastAsia" w:ascii="宋体" w:hAnsi="宋体" w:cs="宋体"/>
          <w:b/>
          <w:bCs/>
        </w:rPr>
        <w:t>开采规模准入条件。</w:t>
      </w:r>
      <w:r>
        <w:rPr>
          <w:rFonts w:hint="eastAsia" w:ascii="宋体" w:hAnsi="宋体" w:cs="宋体"/>
        </w:rPr>
        <w:t>严格执行矿山建设标准，引导矿山企业规模开采，坚持</w:t>
      </w:r>
      <w:r>
        <w:rPr>
          <w:rFonts w:ascii="??_GB2312" w:hAnsi="??_GB2312" w:cs="??_GB2312"/>
        </w:rPr>
        <w:t>“</w:t>
      </w:r>
      <w:r>
        <w:rPr>
          <w:rFonts w:hint="eastAsia" w:ascii="宋体" w:hAnsi="宋体" w:cs="宋体"/>
        </w:rPr>
        <w:t>矿山设计开采规模与矿区资源储量规模相适应</w:t>
      </w:r>
      <w:r>
        <w:rPr>
          <w:rFonts w:ascii="??_GB2312" w:hAnsi="??_GB2312" w:cs="??_GB2312"/>
        </w:rPr>
        <w:t>”</w:t>
      </w:r>
      <w:r>
        <w:rPr>
          <w:rFonts w:hint="eastAsia" w:ascii="宋体" w:hAnsi="宋体" w:cs="宋体"/>
        </w:rPr>
        <w:t>的原则。新建矿山生产规模严格执行规划规定的最低开采标准。</w:t>
      </w:r>
    </w:p>
    <w:p>
      <w:pPr>
        <w:spacing w:line="500" w:lineRule="exact"/>
        <w:ind w:firstLine="562"/>
        <w:rPr>
          <w:rFonts w:ascii="??_GB2312" w:hAnsi="??_GB2312" w:cs="??_GB2312"/>
        </w:rPr>
      </w:pPr>
      <w:r>
        <w:rPr>
          <w:rFonts w:hint="eastAsia" w:ascii="宋体" w:hAnsi="宋体" w:cs="宋体"/>
          <w:b/>
          <w:bCs/>
        </w:rPr>
        <w:t>绿色矿山建设准入条件。</w:t>
      </w:r>
      <w:r>
        <w:rPr>
          <w:rFonts w:hint="eastAsia" w:ascii="宋体" w:hAnsi="宋体" w:cs="宋体"/>
        </w:rPr>
        <w:t>新建矿山要按照绿色矿山标准要求同步进行规划、设计、建设和运营管理。</w:t>
      </w:r>
    </w:p>
    <w:p>
      <w:pPr>
        <w:spacing w:line="500" w:lineRule="exact"/>
        <w:ind w:firstLine="562"/>
        <w:rPr>
          <w:rFonts w:ascii="??_GB2312" w:hAnsi="??_GB2312" w:cs="??_GB2312"/>
        </w:rPr>
      </w:pPr>
      <w:r>
        <w:rPr>
          <w:rFonts w:hint="eastAsia" w:ascii="宋体" w:hAnsi="宋体" w:cs="宋体"/>
          <w:b/>
          <w:bCs/>
        </w:rPr>
        <w:t>矿区生态保护修复准入条件。</w:t>
      </w:r>
      <w:r>
        <w:rPr>
          <w:rFonts w:hint="eastAsia" w:ascii="宋体" w:hAnsi="宋体" w:cs="宋体"/>
        </w:rPr>
        <w:t>新建矿山在编制矿产资源开发利用方案、绿色矿山建设实施方案和矿山地质环境保护与土地复垦方案时，将矿山生态保护与修复贯穿于矿山设计、生产、闭坑全过程。形成采前有设计，过程可控制，采后即修复的矿区生态环境修复机制。</w:t>
      </w:r>
    </w:p>
    <w:p>
      <w:pPr>
        <w:ind w:firstLine="560"/>
        <w:rPr>
          <w:rFonts w:ascii="??_GB2312" w:hAnsi="??_GB2312" w:cs="??_GB2312"/>
        </w:rPr>
      </w:pPr>
    </w:p>
    <w:p>
      <w:pPr>
        <w:pStyle w:val="4"/>
        <w:ind w:firstLine="723"/>
        <w:rPr>
          <w:rFonts w:ascii="??_GB2312" w:hAnsi="??_GB2312" w:cs="??_GB2312"/>
          <w:sz w:val="36"/>
          <w:szCs w:val="36"/>
        </w:rPr>
      </w:pPr>
      <w:bookmarkStart w:id="72" w:name="_Toc109168671"/>
      <w:bookmarkStart w:id="73" w:name="_Toc109202914"/>
      <w:bookmarkStart w:id="74" w:name="_Toc13259"/>
      <w:bookmarkStart w:id="75" w:name="_Toc109168953"/>
      <w:r>
        <w:rPr>
          <w:rFonts w:hint="eastAsia" w:ascii="宋体" w:hAnsi="宋体" w:eastAsia="宋体" w:cs="宋体"/>
          <w:sz w:val="36"/>
          <w:szCs w:val="36"/>
        </w:rPr>
        <w:t>第五章</w:t>
      </w:r>
      <w:r>
        <w:rPr>
          <w:rFonts w:ascii="??_GB2312" w:hAnsi="??_GB2312" w:cs="??_GB2312"/>
          <w:sz w:val="36"/>
          <w:szCs w:val="36"/>
        </w:rPr>
        <w:t xml:space="preserve"> </w:t>
      </w:r>
      <w:r>
        <w:rPr>
          <w:rFonts w:hint="eastAsia" w:ascii="宋体" w:hAnsi="宋体" w:eastAsia="宋体" w:cs="宋体"/>
          <w:sz w:val="36"/>
          <w:szCs w:val="36"/>
        </w:rPr>
        <w:t>绿色矿山建设和矿区生态保护</w:t>
      </w:r>
      <w:bookmarkEnd w:id="72"/>
      <w:bookmarkEnd w:id="73"/>
      <w:bookmarkEnd w:id="74"/>
      <w:bookmarkEnd w:id="75"/>
    </w:p>
    <w:p>
      <w:pPr>
        <w:pStyle w:val="5"/>
        <w:ind w:firstLine="0" w:firstLineChars="0"/>
        <w:rPr>
          <w:rFonts w:ascii="??_GB2312" w:hAnsi="??_GB2312" w:cs="??_GB2312"/>
        </w:rPr>
      </w:pPr>
      <w:bookmarkStart w:id="76" w:name="_Toc109168954"/>
      <w:bookmarkStart w:id="77" w:name="_Toc109202915"/>
      <w:bookmarkStart w:id="78" w:name="_Toc109168672"/>
      <w:bookmarkStart w:id="79" w:name="_Toc2506"/>
      <w:r>
        <w:rPr>
          <w:rFonts w:hint="eastAsia" w:ascii="宋体" w:hAnsi="宋体" w:eastAsia="宋体" w:cs="宋体"/>
        </w:rPr>
        <w:t>第一节</w:t>
      </w:r>
      <w:r>
        <w:rPr>
          <w:rFonts w:ascii="??_GB2312" w:hAnsi="??_GB2312" w:cs="??_GB2312"/>
        </w:rPr>
        <w:t xml:space="preserve"> </w:t>
      </w:r>
      <w:r>
        <w:rPr>
          <w:rFonts w:hint="eastAsia" w:ascii="宋体" w:hAnsi="宋体" w:eastAsia="宋体" w:cs="宋体"/>
        </w:rPr>
        <w:t>推进绿色矿山建设</w:t>
      </w:r>
      <w:bookmarkEnd w:id="76"/>
      <w:bookmarkEnd w:id="77"/>
      <w:bookmarkEnd w:id="78"/>
      <w:bookmarkEnd w:id="79"/>
    </w:p>
    <w:p>
      <w:pPr>
        <w:spacing w:line="500" w:lineRule="exact"/>
        <w:ind w:firstLine="562"/>
        <w:rPr>
          <w:rFonts w:ascii="??_GB2312" w:hAnsi="??_GB2312" w:cs="??_GB2312"/>
        </w:rPr>
      </w:pPr>
      <w:r>
        <w:rPr>
          <w:rFonts w:hint="eastAsia" w:ascii="宋体" w:hAnsi="宋体" w:cs="宋体"/>
          <w:b/>
          <w:bCs/>
        </w:rPr>
        <w:t>明确绿色矿山建设总体思路。</w:t>
      </w:r>
      <w:r>
        <w:rPr>
          <w:rFonts w:hint="eastAsia" w:ascii="宋体" w:hAnsi="宋体" w:cs="宋体"/>
        </w:rPr>
        <w:t>积极响应国家生态文明建设的绿色发展理念，全面落实上级规划中的绿色矿山建设要求，推进绿色矿山建设。督促、引导矿山企业加强资源节约集约和循环利用，加大矿山地质环境治理恢复与土地复垦力度，实现矿产资源开发利用与生态环境保护相协调。</w:t>
      </w:r>
    </w:p>
    <w:p>
      <w:pPr>
        <w:spacing w:line="500" w:lineRule="exact"/>
        <w:ind w:firstLine="562"/>
        <w:rPr>
          <w:rFonts w:ascii="??_GB2312" w:hAnsi="??_GB2312" w:cs="??_GB2312"/>
        </w:rPr>
      </w:pPr>
      <w:r>
        <w:rPr>
          <w:rFonts w:hint="eastAsia" w:ascii="宋体" w:hAnsi="宋体" w:cs="宋体"/>
          <w:b/>
          <w:bCs/>
        </w:rPr>
        <w:t>严格落实绿色矿山建设主要任务。</w:t>
      </w:r>
      <w:r>
        <w:rPr>
          <w:rFonts w:hint="eastAsia" w:ascii="宋体" w:hAnsi="宋体" w:cs="宋体"/>
        </w:rPr>
        <w:t>新建矿山应及时提交绿色矿山建设实施方案，矿山生产满一年后，新建矿山应达到绿色矿山建设要求。符合绿色矿山基本条件的生产矿山应按照绿色矿山建设标准编制绿色矿山建设实施方案，</w:t>
      </w:r>
      <w:bookmarkStart w:id="80" w:name="_Toc77168736"/>
      <w:r>
        <w:rPr>
          <w:rFonts w:hint="eastAsia" w:ascii="宋体" w:hAnsi="宋体" w:cs="宋体"/>
        </w:rPr>
        <w:t>加快改造升级，达到绿色矿山标准后，积极申</w:t>
      </w:r>
      <w:bookmarkEnd w:id="80"/>
      <w:r>
        <w:rPr>
          <w:rFonts w:hint="eastAsia" w:ascii="宋体" w:hAnsi="宋体" w:cs="宋体"/>
        </w:rPr>
        <w:t>报绿色矿山。</w:t>
      </w:r>
    </w:p>
    <w:p>
      <w:pPr>
        <w:snapToGrid w:val="0"/>
        <w:spacing w:line="500" w:lineRule="exact"/>
        <w:ind w:firstLine="562"/>
        <w:rPr>
          <w:rFonts w:ascii="??_GB2312" w:hAnsi="??_GB2312" w:cs="??_GB2312"/>
          <w:b/>
          <w:bCs/>
          <w:sz w:val="30"/>
          <w:szCs w:val="30"/>
        </w:rPr>
      </w:pPr>
      <w:r>
        <w:rPr>
          <w:rFonts w:hint="eastAsia" w:ascii="宋体" w:hAnsi="宋体" w:cs="宋体"/>
          <w:b/>
          <w:bCs/>
        </w:rPr>
        <w:t>健全绿色矿山建设组织方式</w:t>
      </w:r>
      <w:r>
        <w:rPr>
          <w:rFonts w:hint="eastAsia" w:ascii="宋体" w:hAnsi="宋体" w:cs="宋体"/>
        </w:rPr>
        <w:t>。坚持</w:t>
      </w:r>
      <w:r>
        <w:rPr>
          <w:rFonts w:ascii="??_GB2312" w:hAnsi="??_GB2312" w:cs="??_GB2312"/>
        </w:rPr>
        <w:t>“</w:t>
      </w:r>
      <w:r>
        <w:rPr>
          <w:rFonts w:hint="eastAsia" w:ascii="宋体" w:hAnsi="宋体" w:cs="宋体"/>
        </w:rPr>
        <w:t>政府引导、企业主建</w:t>
      </w:r>
      <w:r>
        <w:rPr>
          <w:rFonts w:ascii="??_GB2312" w:hAnsi="??_GB2312" w:cs="??_GB2312"/>
        </w:rPr>
        <w:t>”</w:t>
      </w:r>
      <w:r>
        <w:rPr>
          <w:rFonts w:hint="eastAsia" w:ascii="宋体" w:hAnsi="宋体" w:cs="宋体"/>
        </w:rPr>
        <w:t>的原则。市级自然资源主管部门会同财政、生态环境等有关部门做好绿色矿业发展的组织推进工作。县级自然资源主管部门会同财政、生态环境等有关部门</w:t>
      </w:r>
      <w:bookmarkStart w:id="81" w:name="_Toc77168740"/>
      <w:r>
        <w:rPr>
          <w:rFonts w:hint="eastAsia" w:ascii="宋体" w:hAnsi="宋体" w:cs="宋体"/>
        </w:rPr>
        <w:t>在同级人民政府的领导下，负</w:t>
      </w:r>
      <w:bookmarkEnd w:id="81"/>
      <w:r>
        <w:rPr>
          <w:rFonts w:hint="eastAsia" w:ascii="宋体" w:hAnsi="宋体" w:cs="宋体"/>
        </w:rPr>
        <w:t>责绿色矿山建设工作方案的具体落实。矿山企业认真履行主体责任，全面履行绿色矿山建设义务，加快绿色矿山建设进程。</w:t>
      </w:r>
    </w:p>
    <w:p>
      <w:pPr>
        <w:spacing w:line="500" w:lineRule="exact"/>
        <w:ind w:firstLine="562"/>
        <w:rPr>
          <w:rFonts w:ascii="??_GB2312" w:hAnsi="??_GB2312" w:cs="??_GB2312"/>
        </w:rPr>
      </w:pPr>
      <w:r>
        <w:rPr>
          <w:rFonts w:hint="eastAsia" w:ascii="宋体" w:hAnsi="宋体" w:cs="宋体"/>
          <w:b/>
          <w:bCs/>
        </w:rPr>
        <w:t>明确绿色矿山建设进度安排。</w:t>
      </w:r>
      <w:r>
        <w:rPr>
          <w:rFonts w:hint="eastAsia" w:ascii="宋体" w:hAnsi="宋体" w:cs="宋体"/>
        </w:rPr>
        <w:t>规划期内，按照</w:t>
      </w:r>
      <w:r>
        <w:rPr>
          <w:rFonts w:ascii="??_GB2312" w:hAnsi="??_GB2312" w:cs="??_GB2312"/>
        </w:rPr>
        <w:t>“</w:t>
      </w:r>
      <w:r>
        <w:rPr>
          <w:rFonts w:hint="eastAsia" w:ascii="宋体" w:hAnsi="宋体" w:cs="宋体"/>
        </w:rPr>
        <w:t>政府引导、企业主建、分类实施、全面推进</w:t>
      </w:r>
      <w:r>
        <w:rPr>
          <w:rFonts w:ascii="??_GB2312" w:hAnsi="??_GB2312" w:cs="??_GB2312"/>
        </w:rPr>
        <w:t>”</w:t>
      </w:r>
      <w:r>
        <w:rPr>
          <w:rFonts w:hint="eastAsia" w:ascii="宋体" w:hAnsi="宋体" w:cs="宋体"/>
        </w:rPr>
        <w:t>的原则，持续推进绿色矿山建设，逐步完成绿色矿山建设任务。加快推进符合条件的大中型建筑用石料、水泥用灰岩（大理岩）等绿色矿山建设，由点到线、由线到面，整体推进四平市绿色矿业发展。</w:t>
      </w:r>
    </w:p>
    <w:p>
      <w:pPr>
        <w:spacing w:line="500" w:lineRule="exact"/>
        <w:ind w:firstLine="562"/>
        <w:rPr>
          <w:rFonts w:ascii="??_GB2312" w:hAnsi="??_GB2312" w:cs="??_GB2312"/>
        </w:rPr>
      </w:pPr>
      <w:r>
        <w:rPr>
          <w:rFonts w:hint="eastAsia" w:ascii="宋体" w:hAnsi="宋体" w:cs="宋体"/>
          <w:b/>
          <w:bCs/>
        </w:rPr>
        <w:t>完善绿色矿山建设支持政策。</w:t>
      </w:r>
      <w:r>
        <w:rPr>
          <w:rFonts w:hint="eastAsia" w:ascii="宋体" w:hAnsi="宋体" w:cs="宋体"/>
        </w:rPr>
        <w:t>根据国家、省相关政策，结合四平市实际，在矿产资源配置、建设用地使用、财税以及绿色金融等方面，加大对绿色矿山建设的支持力度，优先保障绿色矿山的资源配置和建设用地合理需求。</w:t>
      </w:r>
    </w:p>
    <w:p>
      <w:pPr>
        <w:pStyle w:val="5"/>
        <w:ind w:firstLine="0" w:firstLineChars="0"/>
        <w:rPr>
          <w:rFonts w:ascii="??_GB2312" w:hAnsi="??_GB2312" w:cs="??_GB2312"/>
        </w:rPr>
      </w:pPr>
      <w:bookmarkStart w:id="82" w:name="_Toc109168955"/>
      <w:bookmarkStart w:id="83" w:name="_Toc9464"/>
      <w:bookmarkStart w:id="84" w:name="_Toc109202916"/>
      <w:bookmarkStart w:id="85" w:name="_Toc109168673"/>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加强矿区生态保护修复</w:t>
      </w:r>
      <w:bookmarkEnd w:id="82"/>
      <w:bookmarkEnd w:id="83"/>
      <w:bookmarkEnd w:id="84"/>
      <w:bookmarkEnd w:id="85"/>
    </w:p>
    <w:p>
      <w:pPr>
        <w:spacing w:line="500" w:lineRule="exact"/>
        <w:ind w:firstLine="562"/>
        <w:rPr>
          <w:rFonts w:ascii="??_GB2312" w:hAnsi="??_GB2312" w:cs="??_GB2312"/>
        </w:rPr>
      </w:pPr>
      <w:r>
        <w:rPr>
          <w:rFonts w:hint="eastAsia" w:ascii="宋体" w:hAnsi="宋体" w:cs="宋体"/>
          <w:b/>
          <w:bCs/>
        </w:rPr>
        <w:t>严格新建矿山生态保护准入要求。</w:t>
      </w:r>
      <w:r>
        <w:rPr>
          <w:rFonts w:hint="eastAsia" w:ascii="宋体" w:hAnsi="宋体" w:cs="宋体"/>
        </w:rPr>
        <w:t>从源头上加强新建矿山生态环境保护与修复管理，采矿权人申请办理采矿权登记时，提交矿山地质环境保护与土地复垦方案，在开采时按制定的年度实施计划及时开展矿区生态修复治理。</w:t>
      </w:r>
    </w:p>
    <w:p>
      <w:pPr>
        <w:spacing w:line="500" w:lineRule="exact"/>
        <w:ind w:firstLine="562"/>
        <w:rPr>
          <w:rFonts w:ascii="??_GB2312" w:hAnsi="??_GB2312" w:cs="??_GB2312"/>
        </w:rPr>
      </w:pPr>
      <w:r>
        <w:rPr>
          <w:rFonts w:hint="eastAsia" w:ascii="宋体" w:hAnsi="宋体" w:cs="宋体"/>
          <w:b/>
          <w:bCs/>
        </w:rPr>
        <w:t>落实矿山生态保护主体责任。</w:t>
      </w:r>
      <w:r>
        <w:rPr>
          <w:rFonts w:hint="eastAsia" w:ascii="宋体" w:hAnsi="宋体" w:cs="宋体"/>
        </w:rPr>
        <w:t>坚持</w:t>
      </w:r>
      <w:r>
        <w:rPr>
          <w:rFonts w:ascii="??_GB2312" w:hAnsi="??_GB2312" w:cs="??_GB2312"/>
        </w:rPr>
        <w:t>“</w:t>
      </w:r>
      <w:r>
        <w:rPr>
          <w:rFonts w:hint="eastAsia" w:ascii="宋体" w:hAnsi="宋体" w:cs="宋体"/>
        </w:rPr>
        <w:t>谁开发、谁保护，谁破坏、谁治理</w:t>
      </w:r>
      <w:r>
        <w:rPr>
          <w:rFonts w:ascii="??_GB2312" w:hAnsi="??_GB2312" w:cs="??_GB2312"/>
        </w:rPr>
        <w:t>”</w:t>
      </w:r>
      <w:r>
        <w:rPr>
          <w:rFonts w:hint="eastAsia" w:ascii="宋体" w:hAnsi="宋体" w:cs="宋体"/>
        </w:rPr>
        <w:t>方针，督促矿山企业严格执行矿山开发利用方案、矿山地质环境保护与土地复垦方案，实现边开采、边保护、边治理，切实履行矿山地质环境治理恢复和土地复垦义务。开采规模、矿区范围、开采矿种、开采方式或服务年限发生变化的，采矿权人必须重新编制矿山地质环境保护与土地复垦方案。</w:t>
      </w:r>
    </w:p>
    <w:p>
      <w:pPr>
        <w:spacing w:line="500" w:lineRule="exact"/>
        <w:ind w:firstLine="562"/>
        <w:rPr>
          <w:rFonts w:ascii="??_GB2312" w:hAnsi="??_GB2312" w:cs="??_GB2312"/>
        </w:rPr>
      </w:pPr>
      <w:r>
        <w:rPr>
          <w:rFonts w:hint="eastAsia" w:ascii="宋体" w:hAnsi="宋体" w:cs="宋体"/>
          <w:b/>
          <w:bCs/>
        </w:rPr>
        <w:t>推进闭坑矿山生态修复。</w:t>
      </w:r>
      <w:r>
        <w:rPr>
          <w:rFonts w:hint="eastAsia" w:ascii="宋体" w:hAnsi="宋体" w:cs="宋体"/>
        </w:rPr>
        <w:t>建立闭坑矿山的矿山地质环境审查制度，明确矿山闭坑的环境达标技术要求。采矿权人应向矿山所在地的自然资源主管部门提交矿山闭坑环境治理恢复计划，经审查批准后，在规定时间内完成矿山地质环境治理恢复工作，并经自然资源局会同有关部门对治理恢复情况进行审查验收、达到验收标准的方可闭坑。</w:t>
      </w:r>
    </w:p>
    <w:p>
      <w:pPr>
        <w:spacing w:line="500" w:lineRule="exact"/>
        <w:ind w:firstLine="560"/>
        <w:rPr>
          <w:rFonts w:ascii="??_GB2312" w:hAnsi="??_GB2312" w:cs="??_GB2312"/>
        </w:rPr>
      </w:pPr>
    </w:p>
    <w:p>
      <w:pPr>
        <w:spacing w:line="500" w:lineRule="exact"/>
        <w:ind w:firstLine="560"/>
        <w:rPr>
          <w:rFonts w:ascii="??_GB2312" w:hAnsi="??_GB2312" w:cs="??_GB2312"/>
        </w:rPr>
      </w:pPr>
    </w:p>
    <w:p>
      <w:pPr>
        <w:spacing w:line="500" w:lineRule="exact"/>
        <w:ind w:firstLine="560"/>
        <w:rPr>
          <w:rFonts w:ascii="??_GB2312" w:hAnsi="??_GB2312" w:cs="??_GB2312"/>
        </w:rPr>
      </w:pPr>
    </w:p>
    <w:p>
      <w:pPr>
        <w:spacing w:line="500" w:lineRule="exact"/>
        <w:ind w:firstLine="560"/>
        <w:rPr>
          <w:rFonts w:ascii="??_GB2312" w:hAnsi="??_GB2312" w:cs="??_GB2312"/>
        </w:rPr>
      </w:pPr>
    </w:p>
    <w:p>
      <w:pPr>
        <w:spacing w:line="500" w:lineRule="exact"/>
        <w:ind w:firstLine="560"/>
        <w:rPr>
          <w:rFonts w:ascii="??_GB2312" w:hAnsi="??_GB2312" w:cs="??_GB2312"/>
        </w:rPr>
      </w:pPr>
    </w:p>
    <w:p>
      <w:pPr>
        <w:ind w:firstLine="562"/>
        <w:rPr>
          <w:rFonts w:ascii="??_GB2312" w:hAnsi="??_GB2312" w:cs="??_GB2312"/>
          <w:b/>
          <w:bCs/>
        </w:rPr>
      </w:pPr>
    </w:p>
    <w:p>
      <w:pPr>
        <w:ind w:firstLine="560"/>
        <w:rPr>
          <w:rFonts w:ascii="??_GB2312" w:hAnsi="??_GB2312" w:cs="??_GB2312"/>
        </w:rPr>
      </w:pPr>
    </w:p>
    <w:p>
      <w:pPr>
        <w:ind w:firstLine="560"/>
        <w:rPr>
          <w:rFonts w:ascii="??_GB2312" w:hAnsi="??_GB2312" w:cs="??_GB2312"/>
        </w:rPr>
      </w:pPr>
    </w:p>
    <w:p>
      <w:pPr>
        <w:ind w:firstLine="560"/>
        <w:rPr>
          <w:rFonts w:ascii="??_GB2312" w:hAnsi="??_GB2312" w:cs="??_GB2312"/>
        </w:rPr>
      </w:pPr>
    </w:p>
    <w:p>
      <w:pPr>
        <w:pStyle w:val="4"/>
        <w:ind w:firstLine="723"/>
        <w:rPr>
          <w:rFonts w:ascii="??_GB2312" w:hAnsi="??_GB2312" w:cs="??_GB2312"/>
          <w:sz w:val="36"/>
          <w:szCs w:val="36"/>
        </w:rPr>
      </w:pPr>
      <w:bookmarkStart w:id="86" w:name="_Toc109202917"/>
      <w:bookmarkStart w:id="87" w:name="_Toc109168674"/>
      <w:bookmarkStart w:id="88" w:name="_Toc109168956"/>
      <w:bookmarkStart w:id="89" w:name="_Toc23261"/>
      <w:r>
        <w:rPr>
          <w:rFonts w:hint="eastAsia" w:ascii="宋体" w:hAnsi="宋体" w:eastAsia="宋体" w:cs="宋体"/>
          <w:sz w:val="36"/>
          <w:szCs w:val="36"/>
        </w:rPr>
        <w:t>第六章</w:t>
      </w:r>
      <w:bookmarkEnd w:id="86"/>
      <w:bookmarkEnd w:id="87"/>
      <w:bookmarkEnd w:id="88"/>
      <w:r>
        <w:rPr>
          <w:rFonts w:ascii="??_GB2312" w:hAnsi="??_GB2312" w:cs="??_GB2312"/>
          <w:sz w:val="36"/>
          <w:szCs w:val="36"/>
        </w:rPr>
        <w:t xml:space="preserve"> </w:t>
      </w:r>
      <w:r>
        <w:rPr>
          <w:rFonts w:hint="eastAsia" w:ascii="宋体" w:hAnsi="宋体" w:eastAsia="宋体" w:cs="宋体"/>
          <w:sz w:val="36"/>
          <w:szCs w:val="36"/>
        </w:rPr>
        <w:t>规划实施保障措施</w:t>
      </w:r>
      <w:bookmarkEnd w:id="89"/>
    </w:p>
    <w:p>
      <w:pPr>
        <w:pStyle w:val="5"/>
        <w:ind w:firstLine="0" w:firstLineChars="0"/>
        <w:rPr>
          <w:rFonts w:ascii="??_GB2312" w:hAnsi="??_GB2312" w:cs="??_GB2312"/>
        </w:rPr>
      </w:pPr>
      <w:bookmarkStart w:id="90" w:name="_Toc109383931"/>
      <w:bookmarkStart w:id="91" w:name="_Toc17937"/>
      <w:bookmarkStart w:id="92" w:name="_Hlk110844600"/>
      <w:r>
        <w:rPr>
          <w:rFonts w:hint="eastAsia" w:ascii="宋体" w:hAnsi="宋体" w:eastAsia="宋体" w:cs="宋体"/>
        </w:rPr>
        <w:t>第一节</w:t>
      </w:r>
      <w:bookmarkStart w:id="93" w:name="_Hlk108708179"/>
      <w:r>
        <w:rPr>
          <w:rFonts w:ascii="??_GB2312" w:hAnsi="??_GB2312" w:cs="??_GB2312"/>
        </w:rPr>
        <w:t xml:space="preserve"> </w:t>
      </w:r>
      <w:r>
        <w:rPr>
          <w:rFonts w:hint="eastAsia" w:ascii="宋体" w:hAnsi="宋体" w:eastAsia="宋体" w:cs="宋体"/>
        </w:rPr>
        <w:t>完善规划实施目标制度</w:t>
      </w:r>
      <w:bookmarkEnd w:id="90"/>
      <w:bookmarkEnd w:id="91"/>
    </w:p>
    <w:bookmarkEnd w:id="93"/>
    <w:p>
      <w:pPr>
        <w:spacing w:line="500" w:lineRule="exact"/>
        <w:ind w:firstLine="560"/>
        <w:rPr>
          <w:rFonts w:ascii="??_GB2312" w:hAnsi="??_GB2312" w:cs="??_GB2312"/>
        </w:rPr>
      </w:pPr>
      <w:r>
        <w:rPr>
          <w:rFonts w:hint="eastAsia" w:ascii="宋体" w:hAnsi="宋体" w:cs="宋体"/>
        </w:rPr>
        <w:t>健全规划管理体制，完善规划运行机制，切实加强规划实施组织领导，将规划管理列入重要工作日程进行统一部署，保障规划实施机构、人员、经费到位。建立完善矿产资源规划实施目标制度，明确职责分工，将矿产资源开发利用总量调控、勘查开发布局与结构调整、节约与综合利用等重要规划指标纳入年度目标管理体系，确保规划目标落实。</w:t>
      </w:r>
    </w:p>
    <w:bookmarkEnd w:id="92"/>
    <w:p>
      <w:pPr>
        <w:pStyle w:val="5"/>
        <w:ind w:firstLine="0" w:firstLineChars="0"/>
        <w:rPr>
          <w:rFonts w:ascii="??_GB2312" w:hAnsi="??_GB2312" w:cs="??_GB2312"/>
        </w:rPr>
      </w:pPr>
      <w:bookmarkStart w:id="94" w:name="_Toc109383932"/>
      <w:bookmarkStart w:id="95" w:name="_Toc13371"/>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健全完善规划实施评估调整机制</w:t>
      </w:r>
      <w:bookmarkEnd w:id="94"/>
      <w:bookmarkEnd w:id="95"/>
    </w:p>
    <w:p>
      <w:pPr>
        <w:tabs>
          <w:tab w:val="left" w:pos="426"/>
        </w:tabs>
        <w:spacing w:line="500" w:lineRule="exact"/>
        <w:ind w:firstLine="560"/>
        <w:rPr>
          <w:rFonts w:ascii="??_GB2312" w:hAnsi="??_GB2312" w:cs="??_GB2312"/>
        </w:rPr>
      </w:pPr>
      <w:r>
        <w:rPr>
          <w:rFonts w:hint="eastAsia" w:ascii="宋体" w:hAnsi="宋体" w:cs="宋体"/>
        </w:rPr>
        <w:t>根据需要适时评估规划目标、重点任务、政策措施等落实情况，作为规划调整的依据。矿产资源规划确需调整的，应当由原编制机关向原批准机关提交材料，经原批准机关同意后进行。</w:t>
      </w:r>
    </w:p>
    <w:p>
      <w:pPr>
        <w:pStyle w:val="5"/>
        <w:ind w:firstLine="0" w:firstLineChars="0"/>
        <w:rPr>
          <w:rFonts w:ascii="??_GB2312" w:hAnsi="??_GB2312" w:cs="??_GB2312"/>
        </w:rPr>
      </w:pPr>
      <w:bookmarkStart w:id="96" w:name="_Toc109383933"/>
      <w:bookmarkStart w:id="97" w:name="_Toc5912"/>
      <w:r>
        <w:rPr>
          <w:rFonts w:hint="eastAsia" w:ascii="宋体" w:hAnsi="宋体" w:eastAsia="宋体" w:cs="宋体"/>
        </w:rPr>
        <w:t>第三节</w:t>
      </w:r>
      <w:r>
        <w:rPr>
          <w:rFonts w:ascii="??_GB2312" w:hAnsi="??_GB2312" w:cs="??_GB2312"/>
        </w:rPr>
        <w:t xml:space="preserve"> </w:t>
      </w:r>
      <w:r>
        <w:rPr>
          <w:rFonts w:hint="eastAsia" w:ascii="宋体" w:hAnsi="宋体" w:eastAsia="宋体" w:cs="宋体"/>
        </w:rPr>
        <w:t>加强规划实施情况监督检查</w:t>
      </w:r>
      <w:bookmarkEnd w:id="96"/>
      <w:bookmarkEnd w:id="97"/>
    </w:p>
    <w:p>
      <w:pPr>
        <w:tabs>
          <w:tab w:val="left" w:pos="426"/>
        </w:tabs>
        <w:spacing w:line="500" w:lineRule="exact"/>
        <w:ind w:firstLine="560"/>
        <w:rPr>
          <w:rFonts w:ascii="??_GB2312" w:hAnsi="??_GB2312" w:cs="??_GB2312"/>
        </w:rPr>
      </w:pPr>
      <w:r>
        <w:rPr>
          <w:rFonts w:hint="eastAsia" w:ascii="宋体" w:hAnsi="宋体" w:cs="宋体"/>
        </w:rPr>
        <w:t>严格落实规划任务和目标，建立规划实施情况动态监督检查制度，加强总量调控、矿产资源开发利用与保护等规划指标执行情况的监督检查。建立规划实施情况反馈制度，及时掌握规划执行情况监督检查结果，强化对规划重点区域矿产勘查开发活动的监督管理，及时纠正违反规划行为。</w:t>
      </w:r>
    </w:p>
    <w:p>
      <w:pPr>
        <w:pStyle w:val="5"/>
        <w:ind w:firstLine="0" w:firstLineChars="0"/>
        <w:rPr>
          <w:rFonts w:ascii="??_GB2312" w:hAnsi="??_GB2312" w:cs="??_GB2312"/>
        </w:rPr>
      </w:pPr>
      <w:bookmarkStart w:id="98" w:name="_Toc109383934"/>
      <w:bookmarkStart w:id="99" w:name="_Toc28773"/>
      <w:r>
        <w:rPr>
          <w:rFonts w:hint="eastAsia" w:ascii="宋体" w:hAnsi="宋体" w:eastAsia="宋体" w:cs="宋体"/>
        </w:rPr>
        <w:t>第四节</w:t>
      </w:r>
      <w:r>
        <w:rPr>
          <w:rFonts w:ascii="??_GB2312" w:hAnsi="??_GB2312" w:cs="??_GB2312"/>
        </w:rPr>
        <w:t xml:space="preserve"> </w:t>
      </w:r>
      <w:r>
        <w:rPr>
          <w:rFonts w:hint="eastAsia" w:ascii="宋体" w:hAnsi="宋体" w:eastAsia="宋体" w:cs="宋体"/>
        </w:rPr>
        <w:t>提高规划管理信息化水平</w:t>
      </w:r>
      <w:bookmarkEnd w:id="98"/>
      <w:bookmarkEnd w:id="99"/>
    </w:p>
    <w:p>
      <w:pPr>
        <w:tabs>
          <w:tab w:val="left" w:pos="426"/>
        </w:tabs>
        <w:spacing w:line="500" w:lineRule="exact"/>
        <w:ind w:firstLine="560"/>
        <w:rPr>
          <w:rFonts w:ascii="??_GB2312" w:hAnsi="??_GB2312" w:cs="??_GB2312"/>
        </w:rPr>
      </w:pPr>
      <w:r>
        <w:rPr>
          <w:rFonts w:hint="eastAsia" w:ascii="宋体" w:hAnsi="宋体" w:cs="宋体"/>
        </w:rPr>
        <w:t>完善矿产资源规划管理信息系统，做好矿产资源规划信息的整理入库工作。加强网络建设，实现上下级管理单位的信息共享。建成面向社会公众的开放式网站，及时向社会公众发布矿产资源规划信息，接受监督和信息反馈，保障社会公众依法享有知情权、参与权和监督权，促进政府矿产资源规划编制管理水平的提升和矿产资源规划的有效实施。</w:t>
      </w:r>
    </w:p>
    <w:p>
      <w:pPr>
        <w:ind w:firstLine="560"/>
        <w:rPr>
          <w:rFonts w:ascii="??_GB2312" w:hAnsi="??_GB2312" w:cs="??_GB2312"/>
        </w:rPr>
      </w:pPr>
    </w:p>
    <w:p>
      <w:pPr>
        <w:ind w:firstLine="560"/>
        <w:rPr>
          <w:rFonts w:ascii="??_GB2312" w:hAnsi="??_GB2312" w:cs="??_GB2312"/>
        </w:rPr>
      </w:pPr>
    </w:p>
    <w:p>
      <w:pPr>
        <w:pStyle w:val="4"/>
        <w:ind w:firstLine="723"/>
        <w:rPr>
          <w:rFonts w:ascii="??_GB2312" w:hAnsi="??_GB2312" w:cs="??_GB2312"/>
          <w:sz w:val="36"/>
          <w:szCs w:val="36"/>
        </w:rPr>
      </w:pPr>
      <w:bookmarkStart w:id="100" w:name="_Toc109202922"/>
      <w:bookmarkStart w:id="101" w:name="_Toc109168961"/>
      <w:bookmarkStart w:id="102" w:name="_Toc109168679"/>
      <w:bookmarkStart w:id="103" w:name="_Toc262"/>
      <w:r>
        <w:rPr>
          <w:rFonts w:hint="eastAsia" w:ascii="宋体" w:hAnsi="宋体" w:eastAsia="宋体" w:cs="宋体"/>
          <w:sz w:val="36"/>
          <w:szCs w:val="36"/>
        </w:rPr>
        <w:t>第七章</w:t>
      </w:r>
      <w:r>
        <w:rPr>
          <w:rFonts w:ascii="??_GB2312" w:hAnsi="??_GB2312" w:cs="??_GB2312"/>
          <w:sz w:val="36"/>
          <w:szCs w:val="36"/>
        </w:rPr>
        <w:t xml:space="preserve"> </w:t>
      </w:r>
      <w:r>
        <w:rPr>
          <w:rFonts w:hint="eastAsia" w:ascii="宋体" w:hAnsi="宋体" w:eastAsia="宋体" w:cs="宋体"/>
          <w:sz w:val="36"/>
          <w:szCs w:val="36"/>
        </w:rPr>
        <w:t>规划环境影响评价</w:t>
      </w:r>
      <w:bookmarkEnd w:id="100"/>
      <w:bookmarkEnd w:id="101"/>
      <w:bookmarkEnd w:id="102"/>
      <w:bookmarkEnd w:id="103"/>
    </w:p>
    <w:p>
      <w:pPr>
        <w:spacing w:line="500" w:lineRule="exact"/>
        <w:ind w:firstLine="560"/>
        <w:rPr>
          <w:rFonts w:ascii="??_GB2312" w:hAnsi="??_GB2312" w:cs="??_GB2312"/>
        </w:rPr>
      </w:pPr>
      <w:r>
        <w:rPr>
          <w:rFonts w:hint="eastAsia" w:ascii="宋体" w:hAnsi="宋体" w:cs="宋体"/>
        </w:rPr>
        <w:t>根据《中华人民共和国矿产资源法》及配套法规，按照环境保护部、</w:t>
      </w:r>
      <w:r>
        <w:rPr>
          <w:rFonts w:hint="eastAsia" w:ascii="宋体" w:hAnsi="宋体" w:cs="宋体"/>
          <w:spacing w:val="-11"/>
        </w:rPr>
        <w:t>国土资源部《关于做好矿产资源规划环境影响评价工作的通知》（环发〔</w:t>
      </w:r>
      <w:r>
        <w:rPr>
          <w:rFonts w:ascii="??_GB2312" w:hAnsi="??_GB2312" w:cs="??_GB2312"/>
          <w:spacing w:val="-11"/>
        </w:rPr>
        <w:t>2015</w:t>
      </w:r>
      <w:r>
        <w:rPr>
          <w:rFonts w:hint="eastAsia" w:ascii="宋体" w:hAnsi="宋体" w:cs="宋体"/>
          <w:spacing w:val="-11"/>
        </w:rPr>
        <w:t>﹞</w:t>
      </w:r>
      <w:r>
        <w:rPr>
          <w:rFonts w:ascii="??_GB2312" w:hAnsi="??_GB2312" w:cs="??_GB2312"/>
          <w:spacing w:val="-11"/>
        </w:rPr>
        <w:t>158</w:t>
      </w:r>
      <w:r>
        <w:rPr>
          <w:rFonts w:hint="eastAsia" w:ascii="宋体" w:hAnsi="宋体" w:cs="宋体"/>
          <w:spacing w:val="-11"/>
        </w:rPr>
        <w:t>号）</w:t>
      </w:r>
      <w:r>
        <w:rPr>
          <w:rFonts w:hint="eastAsia" w:ascii="宋体" w:hAnsi="宋体" w:cs="宋体"/>
        </w:rPr>
        <w:t>部署和要求，对《四平市矿产资源总体规划（</w:t>
      </w:r>
      <w:r>
        <w:rPr>
          <w:rFonts w:ascii="??_GB2312" w:hAnsi="??_GB2312" w:cs="??_GB2312"/>
        </w:rPr>
        <w:t>2021--2025</w:t>
      </w:r>
      <w:r>
        <w:rPr>
          <w:rFonts w:hint="eastAsia" w:ascii="宋体" w:hAnsi="宋体" w:cs="宋体"/>
        </w:rPr>
        <w:t>年）》（以下简称《规划》）进行环境影响评价。</w:t>
      </w:r>
    </w:p>
    <w:p>
      <w:pPr>
        <w:pStyle w:val="5"/>
        <w:ind w:firstLine="0" w:firstLineChars="0"/>
        <w:rPr>
          <w:rFonts w:ascii="??_GB2312" w:hAnsi="??_GB2312" w:cs="??_GB2312"/>
        </w:rPr>
      </w:pPr>
      <w:bookmarkStart w:id="104" w:name="_Toc21244"/>
      <w:bookmarkStart w:id="105" w:name="_Toc109168680"/>
      <w:bookmarkStart w:id="106" w:name="_Toc109202923"/>
      <w:bookmarkStart w:id="107" w:name="_Toc109168962"/>
      <w:r>
        <w:rPr>
          <w:rFonts w:hint="eastAsia" w:ascii="宋体" w:hAnsi="宋体" w:eastAsia="宋体" w:cs="宋体"/>
        </w:rPr>
        <w:t>第一节</w:t>
      </w:r>
      <w:r>
        <w:rPr>
          <w:rFonts w:ascii="??_GB2312" w:hAnsi="??_GB2312" w:cs="??_GB2312"/>
        </w:rPr>
        <w:t xml:space="preserve"> </w:t>
      </w:r>
      <w:r>
        <w:rPr>
          <w:rFonts w:hint="eastAsia" w:ascii="宋体" w:hAnsi="宋体" w:eastAsia="宋体" w:cs="宋体"/>
        </w:rPr>
        <w:t>矿山环境现状评价</w:t>
      </w:r>
      <w:bookmarkEnd w:id="104"/>
      <w:bookmarkEnd w:id="105"/>
      <w:bookmarkEnd w:id="106"/>
      <w:bookmarkEnd w:id="107"/>
    </w:p>
    <w:p>
      <w:pPr>
        <w:spacing w:line="500" w:lineRule="exact"/>
        <w:ind w:firstLine="560"/>
        <w:rPr>
          <w:rFonts w:ascii="??_GB2312" w:hAnsi="??_GB2312" w:cs="??_GB2312"/>
        </w:rPr>
      </w:pPr>
      <w:r>
        <w:rPr>
          <w:rFonts w:hint="eastAsia" w:ascii="宋体" w:hAnsi="宋体" w:cs="宋体"/>
        </w:rPr>
        <w:t>四平市已发现各类矿产资源</w:t>
      </w:r>
      <w:r>
        <w:rPr>
          <w:rFonts w:ascii="??_GB2312" w:hAnsi="??_GB2312" w:cs="??_GB2312"/>
        </w:rPr>
        <w:t>56</w:t>
      </w:r>
      <w:r>
        <w:rPr>
          <w:rFonts w:hint="eastAsia" w:ascii="宋体" w:hAnsi="宋体" w:cs="宋体"/>
        </w:rPr>
        <w:t>种，主要有煤炭、地热、金、银、铜、铅、锌、硫铁矿、膨润土、玻璃用砂、硅灰石、大理岩（灰岩）等，乙类主要为建筑用石料安山岩、玄武岩、花岗岩、大理岩等。矿产资源的开发对于市域经济发展和城乡基础设施建设起到了重要的基础性作用，但同时也对当地的生态环境造成了一定的影响（专栏</w:t>
      </w:r>
      <w:r>
        <w:rPr>
          <w:rFonts w:hint="eastAsia" w:ascii="宋体" w:hAnsi="宋体" w:cs="宋体"/>
          <w:lang w:val="en-US" w:eastAsia="zh-CN"/>
        </w:rPr>
        <w:t>7</w:t>
      </w:r>
      <w:r>
        <w:rPr>
          <w:rFonts w:hint="eastAsia" w:ascii="宋体" w:hAnsi="宋体" w:cs="宋体"/>
        </w:rPr>
        <w:t>）。</w:t>
      </w:r>
    </w:p>
    <w:tbl>
      <w:tblPr>
        <w:tblStyle w:val="20"/>
        <w:tblW w:w="9140"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20"/>
        <w:gridCol w:w="1047"/>
        <w:gridCol w:w="1160"/>
        <w:gridCol w:w="3239"/>
        <w:gridCol w:w="1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40" w:type="dxa"/>
            <w:gridSpan w:val="6"/>
            <w:tcBorders>
              <w:top w:val="single" w:color="auto" w:sz="12" w:space="0"/>
            </w:tcBorders>
            <w:shd w:val="clear" w:color="auto" w:fill="auto"/>
          </w:tcPr>
          <w:p>
            <w:pPr>
              <w:tabs>
                <w:tab w:val="left" w:pos="426"/>
              </w:tabs>
              <w:ind w:firstLine="0" w:firstLineChars="0"/>
              <w:rPr>
                <w:rFonts w:ascii="??_GB2312" w:hAnsi="??_GB2312" w:cs="??_GB2312"/>
                <w:kern w:val="0"/>
                <w:sz w:val="18"/>
                <w:szCs w:val="18"/>
              </w:rPr>
            </w:pPr>
            <w:r>
              <w:rPr>
                <w:rFonts w:hint="eastAsia" w:ascii="宋体" w:hAnsi="宋体" w:cs="宋体"/>
                <w:b/>
                <w:bCs/>
                <w:kern w:val="0"/>
                <w:sz w:val="21"/>
                <w:szCs w:val="21"/>
              </w:rPr>
              <w:t>专栏</w:t>
            </w:r>
            <w:r>
              <w:rPr>
                <w:rFonts w:hint="eastAsia" w:ascii="宋体" w:hAnsi="宋体" w:cs="宋体"/>
                <w:b/>
                <w:bCs/>
                <w:kern w:val="0"/>
                <w:sz w:val="21"/>
                <w:szCs w:val="21"/>
                <w:lang w:val="en-US" w:eastAsia="zh-CN"/>
              </w:rPr>
              <w:t>7</w:t>
            </w:r>
            <w:r>
              <w:rPr>
                <w:rFonts w:ascii="??_GB2312" w:hAnsi="??_GB2312" w:cs="??_GB2312"/>
                <w:b/>
                <w:bCs/>
                <w:kern w:val="0"/>
                <w:sz w:val="21"/>
                <w:szCs w:val="21"/>
              </w:rPr>
              <w:t xml:space="preserve">                   </w:t>
            </w:r>
            <w:r>
              <w:rPr>
                <w:rFonts w:hint="eastAsia" w:ascii="宋体" w:hAnsi="宋体" w:cs="宋体"/>
                <w:b/>
                <w:bCs/>
                <w:kern w:val="0"/>
                <w:sz w:val="21"/>
                <w:szCs w:val="21"/>
              </w:rPr>
              <w:t>四平市（市、县）发证矿山环境现状评价表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Merge w:val="restart"/>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序号</w:t>
            </w:r>
          </w:p>
        </w:tc>
        <w:tc>
          <w:tcPr>
            <w:tcW w:w="1720" w:type="dxa"/>
            <w:vMerge w:val="restart"/>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主要开采矿种</w:t>
            </w:r>
          </w:p>
        </w:tc>
        <w:tc>
          <w:tcPr>
            <w:tcW w:w="2207" w:type="dxa"/>
            <w:gridSpan w:val="2"/>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矿山数量及生产现状</w:t>
            </w:r>
          </w:p>
        </w:tc>
        <w:tc>
          <w:tcPr>
            <w:tcW w:w="3239" w:type="dxa"/>
            <w:vMerge w:val="restart"/>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矿山环境主要问题</w:t>
            </w:r>
          </w:p>
        </w:tc>
        <w:tc>
          <w:tcPr>
            <w:tcW w:w="1292" w:type="dxa"/>
            <w:vMerge w:val="restart"/>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影响状况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Merge w:val="continue"/>
            <w:shd w:val="clear" w:color="auto" w:fill="auto"/>
            <w:vAlign w:val="center"/>
          </w:tcPr>
          <w:p>
            <w:pPr>
              <w:tabs>
                <w:tab w:val="left" w:pos="426"/>
              </w:tabs>
              <w:ind w:firstLine="0" w:firstLineChars="0"/>
              <w:jc w:val="center"/>
              <w:rPr>
                <w:rFonts w:ascii="??_GB2312" w:hAnsi="??_GB2312" w:cs="??_GB2312"/>
                <w:b/>
                <w:bCs/>
                <w:kern w:val="0"/>
                <w:sz w:val="21"/>
                <w:szCs w:val="21"/>
              </w:rPr>
            </w:pPr>
          </w:p>
        </w:tc>
        <w:tc>
          <w:tcPr>
            <w:tcW w:w="1720" w:type="dxa"/>
            <w:vMerge w:val="continue"/>
            <w:shd w:val="clear" w:color="auto" w:fill="auto"/>
            <w:vAlign w:val="center"/>
          </w:tcPr>
          <w:p>
            <w:pPr>
              <w:tabs>
                <w:tab w:val="left" w:pos="426"/>
              </w:tabs>
              <w:ind w:firstLine="0" w:firstLineChars="0"/>
              <w:jc w:val="center"/>
              <w:rPr>
                <w:rFonts w:ascii="??_GB2312" w:hAnsi="??_GB2312" w:cs="??_GB2312"/>
                <w:b/>
                <w:bCs/>
                <w:kern w:val="0"/>
                <w:sz w:val="21"/>
                <w:szCs w:val="21"/>
              </w:rPr>
            </w:pPr>
          </w:p>
        </w:tc>
        <w:tc>
          <w:tcPr>
            <w:tcW w:w="1047"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生产</w:t>
            </w:r>
          </w:p>
        </w:tc>
        <w:tc>
          <w:tcPr>
            <w:tcW w:w="116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停采</w:t>
            </w:r>
          </w:p>
        </w:tc>
        <w:tc>
          <w:tcPr>
            <w:tcW w:w="3239" w:type="dxa"/>
            <w:vMerge w:val="continue"/>
            <w:shd w:val="clear" w:color="auto" w:fill="auto"/>
            <w:vAlign w:val="center"/>
          </w:tcPr>
          <w:p>
            <w:pPr>
              <w:tabs>
                <w:tab w:val="left" w:pos="426"/>
              </w:tabs>
              <w:ind w:firstLine="0" w:firstLineChars="0"/>
              <w:jc w:val="center"/>
              <w:rPr>
                <w:rFonts w:ascii="??_GB2312" w:hAnsi="??_GB2312" w:cs="??_GB2312"/>
                <w:b/>
                <w:bCs/>
                <w:kern w:val="0"/>
                <w:sz w:val="21"/>
                <w:szCs w:val="21"/>
              </w:rPr>
            </w:pPr>
          </w:p>
        </w:tc>
        <w:tc>
          <w:tcPr>
            <w:tcW w:w="1292" w:type="dxa"/>
            <w:vMerge w:val="continue"/>
            <w:shd w:val="clear" w:color="auto" w:fill="auto"/>
            <w:vAlign w:val="center"/>
          </w:tcPr>
          <w:p>
            <w:pPr>
              <w:tabs>
                <w:tab w:val="left" w:pos="426"/>
              </w:tabs>
              <w:ind w:firstLine="0" w:firstLineChars="0"/>
              <w:jc w:val="center"/>
              <w:rPr>
                <w:rFonts w:ascii="??_GB2312" w:hAnsi="??_GB2312" w:cs="??_GB2312"/>
                <w:b/>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1</w:t>
            </w:r>
          </w:p>
        </w:tc>
        <w:tc>
          <w:tcPr>
            <w:tcW w:w="172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水泥用灰岩</w:t>
            </w:r>
          </w:p>
        </w:tc>
        <w:tc>
          <w:tcPr>
            <w:tcW w:w="1047"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2</w:t>
            </w:r>
          </w:p>
        </w:tc>
        <w:tc>
          <w:tcPr>
            <w:tcW w:w="1160"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0</w:t>
            </w:r>
          </w:p>
        </w:tc>
        <w:tc>
          <w:tcPr>
            <w:tcW w:w="3239" w:type="dxa"/>
            <w:vMerge w:val="restart"/>
            <w:shd w:val="clear" w:color="auto" w:fill="auto"/>
            <w:vAlign w:val="center"/>
          </w:tcPr>
          <w:p>
            <w:pPr>
              <w:tabs>
                <w:tab w:val="left" w:pos="426"/>
              </w:tabs>
              <w:ind w:firstLine="0" w:firstLineChars="0"/>
              <w:rPr>
                <w:rFonts w:ascii="??_GB2312" w:hAnsi="??_GB2312" w:cs="??_GB2312"/>
                <w:kern w:val="0"/>
                <w:sz w:val="21"/>
                <w:szCs w:val="21"/>
              </w:rPr>
            </w:pPr>
            <w:r>
              <w:rPr>
                <w:rFonts w:hint="eastAsia" w:ascii="宋体" w:hAnsi="宋体" w:cs="宋体"/>
                <w:kern w:val="0"/>
                <w:sz w:val="21"/>
                <w:szCs w:val="21"/>
              </w:rPr>
              <w:t>破坏土地、植被，产生深坑、陡坡</w:t>
            </w:r>
            <w:r>
              <w:rPr>
                <w:rFonts w:ascii="??_GB2312" w:hAnsi="??_GB2312" w:cs="??_GB2312"/>
                <w:kern w:val="0"/>
                <w:sz w:val="21"/>
                <w:szCs w:val="21"/>
              </w:rPr>
              <w:t>,</w:t>
            </w:r>
            <w:r>
              <w:rPr>
                <w:rFonts w:hint="eastAsia" w:ascii="宋体" w:hAnsi="宋体" w:cs="宋体"/>
                <w:kern w:val="0"/>
                <w:sz w:val="21"/>
                <w:szCs w:val="21"/>
              </w:rPr>
              <w:t>废渣、废气、噪音</w:t>
            </w:r>
          </w:p>
        </w:tc>
        <w:tc>
          <w:tcPr>
            <w:tcW w:w="1292" w:type="dxa"/>
            <w:vMerge w:val="restart"/>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较严重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2</w:t>
            </w:r>
          </w:p>
        </w:tc>
        <w:tc>
          <w:tcPr>
            <w:tcW w:w="172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水泥用大理岩</w:t>
            </w:r>
          </w:p>
        </w:tc>
        <w:tc>
          <w:tcPr>
            <w:tcW w:w="1047"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4</w:t>
            </w:r>
          </w:p>
        </w:tc>
        <w:tc>
          <w:tcPr>
            <w:tcW w:w="1160"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0</w:t>
            </w:r>
          </w:p>
        </w:tc>
        <w:tc>
          <w:tcPr>
            <w:tcW w:w="3239" w:type="dxa"/>
            <w:vMerge w:val="continue"/>
            <w:shd w:val="clear" w:color="auto" w:fill="auto"/>
            <w:vAlign w:val="center"/>
          </w:tcPr>
          <w:p>
            <w:pPr>
              <w:tabs>
                <w:tab w:val="left" w:pos="426"/>
              </w:tabs>
              <w:ind w:firstLine="0" w:firstLineChars="0"/>
              <w:rPr>
                <w:rFonts w:ascii="??_GB2312" w:hAnsi="??_GB2312" w:cs="??_GB2312"/>
                <w:kern w:val="0"/>
                <w:sz w:val="21"/>
                <w:szCs w:val="21"/>
              </w:rPr>
            </w:pPr>
          </w:p>
        </w:tc>
        <w:tc>
          <w:tcPr>
            <w:tcW w:w="1292" w:type="dxa"/>
            <w:vMerge w:val="continue"/>
            <w:shd w:val="clear" w:color="auto" w:fill="auto"/>
            <w:vAlign w:val="center"/>
          </w:tcPr>
          <w:p>
            <w:pPr>
              <w:tabs>
                <w:tab w:val="left" w:pos="426"/>
              </w:tabs>
              <w:ind w:firstLine="0" w:firstLineChars="0"/>
              <w:jc w:val="center"/>
              <w:rPr>
                <w:rFonts w:ascii="??_GB2312" w:hAnsi="??_GB2312" w:cs="??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3</w:t>
            </w:r>
          </w:p>
        </w:tc>
        <w:tc>
          <w:tcPr>
            <w:tcW w:w="172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建筑用石料</w:t>
            </w:r>
          </w:p>
        </w:tc>
        <w:tc>
          <w:tcPr>
            <w:tcW w:w="1047"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12</w:t>
            </w:r>
          </w:p>
        </w:tc>
        <w:tc>
          <w:tcPr>
            <w:tcW w:w="1160"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4</w:t>
            </w:r>
          </w:p>
        </w:tc>
        <w:tc>
          <w:tcPr>
            <w:tcW w:w="3239" w:type="dxa"/>
            <w:vMerge w:val="continue"/>
            <w:shd w:val="clear" w:color="auto" w:fill="auto"/>
            <w:vAlign w:val="center"/>
          </w:tcPr>
          <w:p>
            <w:pPr>
              <w:tabs>
                <w:tab w:val="left" w:pos="426"/>
              </w:tabs>
              <w:ind w:firstLine="0" w:firstLineChars="0"/>
              <w:rPr>
                <w:rFonts w:ascii="??_GB2312" w:hAnsi="??_GB2312" w:cs="??_GB2312"/>
                <w:kern w:val="0"/>
                <w:sz w:val="21"/>
                <w:szCs w:val="21"/>
              </w:rPr>
            </w:pPr>
          </w:p>
        </w:tc>
        <w:tc>
          <w:tcPr>
            <w:tcW w:w="1292" w:type="dxa"/>
            <w:vMerge w:val="continue"/>
            <w:shd w:val="clear" w:color="auto" w:fill="auto"/>
            <w:vAlign w:val="center"/>
          </w:tcPr>
          <w:p>
            <w:pPr>
              <w:tabs>
                <w:tab w:val="left" w:pos="426"/>
              </w:tabs>
              <w:ind w:firstLine="0" w:firstLineChars="0"/>
              <w:jc w:val="center"/>
              <w:rPr>
                <w:rFonts w:ascii="??_GB2312" w:hAnsi="??_GB2312" w:cs="??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4</w:t>
            </w:r>
          </w:p>
        </w:tc>
        <w:tc>
          <w:tcPr>
            <w:tcW w:w="172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建筑用砂</w:t>
            </w:r>
          </w:p>
        </w:tc>
        <w:tc>
          <w:tcPr>
            <w:tcW w:w="1047"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1</w:t>
            </w:r>
          </w:p>
        </w:tc>
        <w:tc>
          <w:tcPr>
            <w:tcW w:w="1160"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0</w:t>
            </w:r>
          </w:p>
        </w:tc>
        <w:tc>
          <w:tcPr>
            <w:tcW w:w="3239" w:type="dxa"/>
            <w:shd w:val="clear" w:color="auto" w:fill="auto"/>
            <w:vAlign w:val="center"/>
          </w:tcPr>
          <w:p>
            <w:pPr>
              <w:tabs>
                <w:tab w:val="left" w:pos="426"/>
              </w:tabs>
              <w:ind w:firstLine="0" w:firstLineChars="0"/>
              <w:rPr>
                <w:rFonts w:ascii="??_GB2312" w:hAnsi="??_GB2312" w:cs="??_GB2312"/>
                <w:kern w:val="0"/>
                <w:sz w:val="21"/>
                <w:szCs w:val="21"/>
              </w:rPr>
            </w:pPr>
            <w:r>
              <w:rPr>
                <w:rFonts w:hint="eastAsia" w:ascii="宋体" w:hAnsi="宋体" w:cs="宋体"/>
                <w:kern w:val="0"/>
                <w:sz w:val="21"/>
                <w:szCs w:val="21"/>
              </w:rPr>
              <w:t>破坏土地、植被，产生陡坡</w:t>
            </w:r>
          </w:p>
        </w:tc>
        <w:tc>
          <w:tcPr>
            <w:tcW w:w="1292"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较严重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5</w:t>
            </w:r>
          </w:p>
        </w:tc>
        <w:tc>
          <w:tcPr>
            <w:tcW w:w="172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陶瓷土</w:t>
            </w:r>
          </w:p>
        </w:tc>
        <w:tc>
          <w:tcPr>
            <w:tcW w:w="1047"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0</w:t>
            </w:r>
          </w:p>
        </w:tc>
        <w:tc>
          <w:tcPr>
            <w:tcW w:w="1160"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1</w:t>
            </w:r>
          </w:p>
        </w:tc>
        <w:tc>
          <w:tcPr>
            <w:tcW w:w="3239" w:type="dxa"/>
            <w:shd w:val="clear" w:color="auto" w:fill="auto"/>
            <w:vAlign w:val="center"/>
          </w:tcPr>
          <w:p>
            <w:pPr>
              <w:tabs>
                <w:tab w:val="left" w:pos="426"/>
              </w:tabs>
              <w:ind w:firstLine="0" w:firstLineChars="0"/>
              <w:rPr>
                <w:rFonts w:ascii="??_GB2312" w:hAnsi="??_GB2312" w:cs="??_GB2312"/>
                <w:kern w:val="0"/>
                <w:sz w:val="21"/>
                <w:szCs w:val="21"/>
              </w:rPr>
            </w:pPr>
            <w:r>
              <w:rPr>
                <w:rFonts w:hint="eastAsia" w:ascii="宋体" w:hAnsi="宋体" w:cs="宋体"/>
                <w:kern w:val="0"/>
                <w:sz w:val="21"/>
                <w:szCs w:val="21"/>
              </w:rPr>
              <w:t>破坏土地、植被，产生陡坡</w:t>
            </w:r>
          </w:p>
        </w:tc>
        <w:tc>
          <w:tcPr>
            <w:tcW w:w="1292"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较严重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6</w:t>
            </w:r>
          </w:p>
        </w:tc>
        <w:tc>
          <w:tcPr>
            <w:tcW w:w="1720"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方解石</w:t>
            </w:r>
          </w:p>
        </w:tc>
        <w:tc>
          <w:tcPr>
            <w:tcW w:w="1047"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1</w:t>
            </w:r>
          </w:p>
        </w:tc>
        <w:tc>
          <w:tcPr>
            <w:tcW w:w="1160" w:type="dxa"/>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0</w:t>
            </w:r>
          </w:p>
        </w:tc>
        <w:tc>
          <w:tcPr>
            <w:tcW w:w="3239" w:type="dxa"/>
            <w:shd w:val="clear" w:color="auto" w:fill="auto"/>
            <w:vAlign w:val="center"/>
          </w:tcPr>
          <w:p>
            <w:pPr>
              <w:tabs>
                <w:tab w:val="left" w:pos="426"/>
              </w:tabs>
              <w:ind w:firstLine="0" w:firstLineChars="0"/>
              <w:rPr>
                <w:rFonts w:ascii="??_GB2312" w:hAnsi="??_GB2312" w:cs="??_GB2312"/>
                <w:kern w:val="0"/>
                <w:sz w:val="21"/>
                <w:szCs w:val="21"/>
              </w:rPr>
            </w:pPr>
            <w:r>
              <w:rPr>
                <w:rFonts w:hint="eastAsia" w:ascii="宋体" w:hAnsi="宋体" w:cs="宋体"/>
                <w:kern w:val="0"/>
                <w:sz w:val="21"/>
                <w:szCs w:val="21"/>
              </w:rPr>
              <w:t>破坏土地，破坏植被</w:t>
            </w:r>
          </w:p>
        </w:tc>
        <w:tc>
          <w:tcPr>
            <w:tcW w:w="1292" w:type="dxa"/>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bottom w:val="single" w:color="auto" w:sz="12" w:space="0"/>
            </w:tcBorders>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7</w:t>
            </w:r>
          </w:p>
        </w:tc>
        <w:tc>
          <w:tcPr>
            <w:tcW w:w="1720" w:type="dxa"/>
            <w:tcBorders>
              <w:bottom w:val="single" w:color="auto" w:sz="12" w:space="0"/>
            </w:tcBorders>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矿泉水</w:t>
            </w:r>
          </w:p>
        </w:tc>
        <w:tc>
          <w:tcPr>
            <w:tcW w:w="1047" w:type="dxa"/>
            <w:tcBorders>
              <w:bottom w:val="single" w:color="auto" w:sz="12" w:space="0"/>
            </w:tcBorders>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1</w:t>
            </w:r>
          </w:p>
        </w:tc>
        <w:tc>
          <w:tcPr>
            <w:tcW w:w="1160" w:type="dxa"/>
            <w:tcBorders>
              <w:bottom w:val="single" w:color="auto" w:sz="12" w:space="0"/>
            </w:tcBorders>
            <w:shd w:val="clear" w:color="auto" w:fill="auto"/>
          </w:tcPr>
          <w:p>
            <w:pPr>
              <w:tabs>
                <w:tab w:val="left" w:pos="426"/>
              </w:tabs>
              <w:ind w:firstLine="0" w:firstLineChars="0"/>
              <w:jc w:val="center"/>
              <w:rPr>
                <w:rFonts w:ascii="??_GB2312" w:hAnsi="??_GB2312" w:cs="??_GB2312"/>
                <w:kern w:val="0"/>
                <w:sz w:val="21"/>
                <w:szCs w:val="21"/>
              </w:rPr>
            </w:pPr>
            <w:r>
              <w:rPr>
                <w:rFonts w:ascii="??_GB2312" w:hAnsi="??_GB2312" w:cs="??_GB2312"/>
                <w:kern w:val="0"/>
                <w:sz w:val="21"/>
                <w:szCs w:val="21"/>
              </w:rPr>
              <w:t>0</w:t>
            </w:r>
          </w:p>
        </w:tc>
        <w:tc>
          <w:tcPr>
            <w:tcW w:w="3239" w:type="dxa"/>
            <w:tcBorders>
              <w:bottom w:val="single" w:color="auto" w:sz="12" w:space="0"/>
            </w:tcBorders>
            <w:shd w:val="clear" w:color="auto" w:fill="auto"/>
            <w:vAlign w:val="center"/>
          </w:tcPr>
          <w:p>
            <w:pPr>
              <w:tabs>
                <w:tab w:val="left" w:pos="426"/>
              </w:tabs>
              <w:ind w:firstLine="0" w:firstLineChars="0"/>
              <w:rPr>
                <w:rFonts w:ascii="??_GB2312" w:hAnsi="??_GB2312" w:cs="??_GB2312"/>
                <w:kern w:val="0"/>
                <w:sz w:val="21"/>
                <w:szCs w:val="21"/>
              </w:rPr>
            </w:pPr>
            <w:r>
              <w:rPr>
                <w:rFonts w:hint="eastAsia" w:ascii="宋体" w:hAnsi="宋体" w:cs="宋体"/>
                <w:kern w:val="0"/>
                <w:sz w:val="21"/>
                <w:szCs w:val="21"/>
              </w:rPr>
              <w:t>影响深层地下水</w:t>
            </w:r>
          </w:p>
        </w:tc>
        <w:tc>
          <w:tcPr>
            <w:tcW w:w="1292" w:type="dxa"/>
            <w:tcBorders>
              <w:bottom w:val="single" w:color="auto" w:sz="12" w:space="0"/>
            </w:tcBorders>
            <w:shd w:val="clear" w:color="auto" w:fill="auto"/>
            <w:vAlign w:val="center"/>
          </w:tcPr>
          <w:p>
            <w:pPr>
              <w:tabs>
                <w:tab w:val="left" w:pos="426"/>
              </w:tabs>
              <w:ind w:firstLine="0" w:firstLineChars="0"/>
              <w:jc w:val="center"/>
              <w:rPr>
                <w:rFonts w:ascii="??_GB2312" w:hAnsi="??_GB2312" w:cs="??_GB2312"/>
                <w:kern w:val="0"/>
                <w:sz w:val="21"/>
                <w:szCs w:val="21"/>
              </w:rPr>
            </w:pPr>
            <w:r>
              <w:rPr>
                <w:rFonts w:hint="eastAsia" w:ascii="宋体" w:hAnsi="宋体" w:cs="宋体"/>
                <w:kern w:val="0"/>
                <w:sz w:val="21"/>
                <w:szCs w:val="21"/>
              </w:rPr>
              <w:t>一般</w:t>
            </w:r>
          </w:p>
        </w:tc>
      </w:tr>
    </w:tbl>
    <w:p>
      <w:pPr>
        <w:spacing w:line="500" w:lineRule="exact"/>
        <w:ind w:firstLine="560"/>
        <w:rPr>
          <w:rFonts w:ascii="??_GB2312" w:hAnsi="??_GB2312" w:cs="??_GB2312"/>
        </w:rPr>
      </w:pPr>
      <w:r>
        <w:rPr>
          <w:rFonts w:hint="eastAsia" w:ascii="宋体" w:hAnsi="宋体" w:cs="宋体"/>
        </w:rPr>
        <w:t>截止</w:t>
      </w:r>
      <w:r>
        <w:rPr>
          <w:rFonts w:ascii="??_GB2312" w:hAnsi="??_GB2312" w:cs="??_GB2312"/>
        </w:rPr>
        <w:t>2020</w:t>
      </w:r>
      <w:r>
        <w:rPr>
          <w:rFonts w:hint="eastAsia" w:ascii="宋体" w:hAnsi="宋体" w:cs="宋体"/>
        </w:rPr>
        <w:t>年底，全市共有各类矿山</w:t>
      </w:r>
      <w:r>
        <w:rPr>
          <w:rFonts w:ascii="??_GB2312" w:hAnsi="??_GB2312" w:cs="??_GB2312"/>
        </w:rPr>
        <w:t>32</w:t>
      </w:r>
      <w:r>
        <w:rPr>
          <w:rFonts w:hint="eastAsia" w:ascii="宋体" w:hAnsi="宋体" w:cs="宋体"/>
        </w:rPr>
        <w:t>个，对当地生态坏境有着不同程度的影响。矿产资源开发造成的环境问题主要表现在五个方面：</w:t>
      </w:r>
    </w:p>
    <w:p>
      <w:pPr>
        <w:spacing w:line="500" w:lineRule="exact"/>
        <w:ind w:firstLine="560"/>
        <w:rPr>
          <w:rFonts w:ascii="??_GB2312" w:hAnsi="??_GB2312" w:cs="??_GB2312"/>
        </w:rPr>
      </w:pPr>
      <w:r>
        <w:rPr>
          <w:rFonts w:ascii="??_GB2312" w:hAnsi="??_GB2312" w:cs="??_GB2312"/>
        </w:rPr>
        <w:t>1</w:t>
      </w:r>
      <w:r>
        <w:rPr>
          <w:rFonts w:hint="eastAsia" w:ascii="宋体" w:hAnsi="宋体" w:cs="宋体"/>
        </w:rPr>
        <w:t>、矿产资源开发利用占用和破坏土地资源。</w:t>
      </w:r>
    </w:p>
    <w:p>
      <w:pPr>
        <w:spacing w:line="500" w:lineRule="exact"/>
        <w:ind w:firstLine="560"/>
        <w:rPr>
          <w:rFonts w:ascii="??_GB2312" w:hAnsi="??_GB2312" w:cs="??_GB2312"/>
        </w:rPr>
      </w:pPr>
      <w:r>
        <w:rPr>
          <w:rFonts w:ascii="??_GB2312" w:hAnsi="??_GB2312" w:cs="??_GB2312"/>
        </w:rPr>
        <w:t>2</w:t>
      </w:r>
      <w:r>
        <w:rPr>
          <w:rFonts w:hint="eastAsia" w:ascii="宋体" w:hAnsi="宋体" w:cs="宋体"/>
        </w:rPr>
        <w:t>、矿产资源开发利用对水环境造成影响和破坏。</w:t>
      </w:r>
    </w:p>
    <w:p>
      <w:pPr>
        <w:spacing w:line="500" w:lineRule="exact"/>
        <w:ind w:firstLine="560"/>
        <w:rPr>
          <w:rFonts w:ascii="??_GB2312" w:hAnsi="??_GB2312" w:cs="??_GB2312"/>
        </w:rPr>
      </w:pPr>
      <w:r>
        <w:rPr>
          <w:rFonts w:ascii="??_GB2312" w:hAnsi="??_GB2312" w:cs="??_GB2312"/>
        </w:rPr>
        <w:t>3</w:t>
      </w:r>
      <w:r>
        <w:rPr>
          <w:rFonts w:hint="eastAsia" w:ascii="宋体" w:hAnsi="宋体" w:cs="宋体"/>
        </w:rPr>
        <w:t>、矿产资源开发利用破坏植被，破坏原有的地貌景观，引起土地荒漠化。</w:t>
      </w:r>
    </w:p>
    <w:p>
      <w:pPr>
        <w:spacing w:line="500" w:lineRule="exact"/>
        <w:ind w:firstLine="560"/>
        <w:rPr>
          <w:rFonts w:ascii="??_GB2312" w:hAnsi="??_GB2312" w:cs="??_GB2312"/>
        </w:rPr>
      </w:pPr>
      <w:r>
        <w:rPr>
          <w:rFonts w:ascii="??_GB2312" w:hAnsi="??_GB2312" w:cs="??_GB2312"/>
        </w:rPr>
        <w:t>4</w:t>
      </w:r>
      <w:r>
        <w:rPr>
          <w:rFonts w:hint="eastAsia" w:ascii="宋体" w:hAnsi="宋体" w:cs="宋体"/>
        </w:rPr>
        <w:t>、矿业</w:t>
      </w:r>
      <w:r>
        <w:rPr>
          <w:rFonts w:ascii="??_GB2312" w:hAnsi="??_GB2312" w:cs="??_GB2312"/>
        </w:rPr>
        <w:t>“</w:t>
      </w:r>
      <w:r>
        <w:rPr>
          <w:rFonts w:hint="eastAsia" w:ascii="宋体" w:hAnsi="宋体" w:cs="宋体"/>
        </w:rPr>
        <w:t>三废</w:t>
      </w:r>
      <w:r>
        <w:rPr>
          <w:rFonts w:ascii="??_GB2312" w:hAnsi="??_GB2312" w:cs="??_GB2312"/>
        </w:rPr>
        <w:t>”</w:t>
      </w:r>
      <w:r>
        <w:rPr>
          <w:rFonts w:hint="eastAsia" w:ascii="宋体" w:hAnsi="宋体" w:cs="宋体"/>
        </w:rPr>
        <w:t>污染环境。</w:t>
      </w:r>
    </w:p>
    <w:p>
      <w:pPr>
        <w:spacing w:line="500" w:lineRule="exact"/>
        <w:ind w:firstLine="560"/>
        <w:rPr>
          <w:rFonts w:ascii="??_GB2312" w:hAnsi="??_GB2312" w:cs="??_GB2312"/>
        </w:rPr>
      </w:pPr>
      <w:r>
        <w:rPr>
          <w:rFonts w:ascii="??_GB2312" w:hAnsi="??_GB2312" w:cs="??_GB2312"/>
        </w:rPr>
        <w:t>5</w:t>
      </w:r>
      <w:r>
        <w:rPr>
          <w:rFonts w:hint="eastAsia" w:ascii="宋体" w:hAnsi="宋体" w:cs="宋体"/>
        </w:rPr>
        <w:t>、矿产开发容易引起局部地区发生滑坡、崩塌、泥石流等次生地质灾害。</w:t>
      </w:r>
    </w:p>
    <w:p>
      <w:pPr>
        <w:spacing w:line="500" w:lineRule="exact"/>
        <w:ind w:firstLine="560"/>
        <w:rPr>
          <w:rFonts w:ascii="??_GB2312" w:hAnsi="??_GB2312" w:cs="??_GB2312"/>
        </w:rPr>
      </w:pPr>
      <w:r>
        <w:rPr>
          <w:rFonts w:hint="eastAsia" w:ascii="宋体" w:hAnsi="宋体" w:cs="宋体"/>
        </w:rPr>
        <w:t>根据矿产资源开采类型将现有矿山对环境的影响程度分为影响一般和较严重两种类型。影响一般型矿山主要是小规模方解石矿，对矿区环境影响主要表现为破坏土地地表层，破坏地表植被，影响地形地貌，容易引起水土流失。影响较严重型矿山是指水泥用灰岩（大理岩）、建筑用石料矿山等露天开采矿山，矿山规模较大，开采历史较长。对矿区环境影响主要表现为破坏矿区原始地貌、土地硬化、植被破坏，并诱发滑坡、崩塌等次生地质灾害，严重影响生态环境。</w:t>
      </w:r>
    </w:p>
    <w:p>
      <w:pPr>
        <w:pStyle w:val="5"/>
        <w:ind w:firstLine="0" w:firstLineChars="0"/>
        <w:rPr>
          <w:rFonts w:ascii="??_GB2312" w:hAnsi="??_GB2312" w:cs="??_GB2312"/>
        </w:rPr>
      </w:pPr>
      <w:bookmarkStart w:id="108" w:name="_Toc109202924"/>
      <w:bookmarkStart w:id="109" w:name="_Toc109168681"/>
      <w:bookmarkStart w:id="110" w:name="_Toc109168963"/>
      <w:bookmarkStart w:id="111" w:name="_Toc1341"/>
      <w:r>
        <w:rPr>
          <w:rFonts w:hint="eastAsia" w:ascii="宋体" w:hAnsi="宋体" w:eastAsia="宋体" w:cs="宋体"/>
        </w:rPr>
        <w:t>第二节</w:t>
      </w:r>
      <w:r>
        <w:rPr>
          <w:rFonts w:ascii="??_GB2312" w:hAnsi="??_GB2312" w:cs="??_GB2312"/>
        </w:rPr>
        <w:t xml:space="preserve"> </w:t>
      </w:r>
      <w:r>
        <w:rPr>
          <w:rFonts w:hint="eastAsia" w:ascii="宋体" w:hAnsi="宋体" w:eastAsia="宋体" w:cs="宋体"/>
        </w:rPr>
        <w:t>规划影响环境预测评价</w:t>
      </w:r>
      <w:bookmarkEnd w:id="108"/>
      <w:bookmarkEnd w:id="109"/>
      <w:bookmarkEnd w:id="110"/>
      <w:bookmarkEnd w:id="111"/>
    </w:p>
    <w:p>
      <w:pPr>
        <w:spacing w:line="500" w:lineRule="exact"/>
        <w:ind w:firstLine="560"/>
        <w:rPr>
          <w:rFonts w:ascii="??_GB2312" w:hAnsi="??_GB2312" w:cs="??_GB2312"/>
        </w:rPr>
      </w:pPr>
      <w:r>
        <w:rPr>
          <w:rFonts w:hint="eastAsia" w:ascii="宋体" w:hAnsi="宋体" w:cs="宋体"/>
        </w:rPr>
        <w:t>《规划》以有效保护和合理开发利用矿产资源及保护矿山地质环境为目标，充分考虑四平市矿产资源分布规律和生态环境现状，坚持</w:t>
      </w:r>
      <w:r>
        <w:rPr>
          <w:rFonts w:ascii="??_GB2312" w:hAnsi="??_GB2312" w:cs="??_GB2312"/>
        </w:rPr>
        <w:t>“</w:t>
      </w:r>
      <w:r>
        <w:rPr>
          <w:rFonts w:hint="eastAsia" w:ascii="宋体" w:hAnsi="宋体" w:cs="宋体"/>
        </w:rPr>
        <w:t>谁开发、谁保护，谁污染、谁治理，谁破坏、谁复垦</w:t>
      </w:r>
      <w:r>
        <w:rPr>
          <w:rFonts w:ascii="??_GB2312" w:hAnsi="??_GB2312" w:cs="??_GB2312"/>
        </w:rPr>
        <w:t>”</w:t>
      </w:r>
      <w:r>
        <w:rPr>
          <w:rFonts w:hint="eastAsia" w:ascii="宋体" w:hAnsi="宋体" w:cs="宋体"/>
        </w:rPr>
        <w:t>的原则，推进绿色矿山建设，加强生态修复和环境治理，实现经济效益与环境效益相统一，促进矿产资源开发与地质环境保护协调发展。</w:t>
      </w:r>
    </w:p>
    <w:p>
      <w:pPr>
        <w:spacing w:line="500" w:lineRule="exact"/>
        <w:ind w:firstLine="560"/>
        <w:rPr>
          <w:rFonts w:ascii="??_GB2312" w:hAnsi="??_GB2312" w:cs="??_GB2312"/>
        </w:rPr>
      </w:pPr>
      <w:r>
        <w:rPr>
          <w:rFonts w:hint="eastAsia" w:ascii="宋体" w:hAnsi="宋体" w:cs="宋体"/>
        </w:rPr>
        <w:t>由于矿产资源开采活动，存在占用土地、破坏当地植被和景观、水土流失及诱发地质灾害等破坏矿区环境的严重问题。同时，在开采过程中会产生废气、废水、固体废弃物、噪声、粉尘等环境污染。因此，应充分评价规划期内矿产资源开发项目对矿区环境的影响。</w:t>
      </w:r>
    </w:p>
    <w:p>
      <w:pPr>
        <w:spacing w:line="500" w:lineRule="exact"/>
        <w:ind w:firstLine="562"/>
        <w:rPr>
          <w:rFonts w:ascii="??_GB2312" w:hAnsi="??_GB2312" w:cs="??_GB2312"/>
          <w:b/>
          <w:bCs/>
        </w:rPr>
      </w:pPr>
      <w:r>
        <w:rPr>
          <w:rFonts w:hint="eastAsia" w:ascii="宋体" w:hAnsi="宋体" w:cs="宋体"/>
          <w:b/>
          <w:bCs/>
        </w:rPr>
        <w:t>一、大气环境影响</w:t>
      </w:r>
    </w:p>
    <w:p>
      <w:pPr>
        <w:spacing w:line="500" w:lineRule="exact"/>
        <w:ind w:firstLine="560"/>
        <w:rPr>
          <w:rFonts w:ascii="??_GB2312" w:hAnsi="??_GB2312" w:cs="??_GB2312"/>
        </w:rPr>
      </w:pPr>
      <w:r>
        <w:rPr>
          <w:rFonts w:hint="eastAsia" w:ascii="宋体" w:hAnsi="宋体" w:cs="宋体"/>
        </w:rPr>
        <w:t>规划项目施工期间对大气环境产生的影响主要来自土石方开挖、清运、堆积和矿石的装卸、运输等产生的扬尘以及施工和运输设备产生的废气。施工扬尘和废气会造成局部大气环境的污染，</w:t>
      </w:r>
    </w:p>
    <w:p>
      <w:pPr>
        <w:spacing w:line="500" w:lineRule="exact"/>
        <w:ind w:firstLine="560"/>
        <w:rPr>
          <w:rFonts w:ascii="??_GB2312" w:hAnsi="??_GB2312" w:cs="??_GB2312"/>
        </w:rPr>
      </w:pPr>
      <w:r>
        <w:rPr>
          <w:rFonts w:hint="eastAsia" w:ascii="宋体" w:hAnsi="宋体" w:cs="宋体"/>
        </w:rPr>
        <w:t>规划项目生产期对大气环境造成的影响主要为固体矿产资源共伴生气体的排放、矿石破碎和储运环节产生的粉尘、废气、锅炉煤烟及尾矿库</w:t>
      </w:r>
      <w:r>
        <w:rPr>
          <w:rFonts w:hint="eastAsia" w:ascii="宋体" w:hAnsi="宋体" w:cs="宋体"/>
          <w:color w:val="FF0000"/>
        </w:rPr>
        <w:t>、</w:t>
      </w:r>
      <w:r>
        <w:rPr>
          <w:rFonts w:hint="eastAsia" w:ascii="宋体" w:hAnsi="宋体" w:cs="宋体"/>
        </w:rPr>
        <w:t>等的扬尘。对施工现场周边居民造成一定影响。但这种影响是短期的、局部的，工程结束后影响随之消失。受资源储量的客观限制，市内矿山企业生产规模都较小，在采取相应防治措施后对大气环境影响较小。</w:t>
      </w:r>
    </w:p>
    <w:p>
      <w:pPr>
        <w:spacing w:line="500" w:lineRule="exact"/>
        <w:ind w:firstLine="562"/>
        <w:rPr>
          <w:rFonts w:ascii="??_GB2312" w:hAnsi="??_GB2312" w:cs="??_GB2312"/>
          <w:b/>
          <w:bCs/>
        </w:rPr>
      </w:pPr>
      <w:r>
        <w:rPr>
          <w:rFonts w:hint="eastAsia" w:ascii="宋体" w:hAnsi="宋体" w:cs="宋体"/>
          <w:b/>
          <w:bCs/>
        </w:rPr>
        <w:t>二、水环境影响</w:t>
      </w:r>
    </w:p>
    <w:p>
      <w:pPr>
        <w:spacing w:line="500" w:lineRule="exact"/>
        <w:ind w:firstLine="560"/>
        <w:rPr>
          <w:rFonts w:ascii="??_GB2312" w:hAnsi="??_GB2312" w:cs="??_GB2312"/>
        </w:rPr>
      </w:pPr>
      <w:r>
        <w:rPr>
          <w:rFonts w:ascii="??_GB2312" w:hAnsi="??_GB2312" w:cs="??_GB2312"/>
        </w:rPr>
        <w:t>1</w:t>
      </w:r>
      <w:r>
        <w:rPr>
          <w:rFonts w:hint="eastAsia" w:ascii="宋体" w:hAnsi="宋体" w:cs="宋体"/>
        </w:rPr>
        <w:t>、地表水</w:t>
      </w:r>
    </w:p>
    <w:p>
      <w:pPr>
        <w:spacing w:line="500" w:lineRule="exact"/>
        <w:ind w:firstLine="560"/>
        <w:rPr>
          <w:rFonts w:ascii="??_GB2312" w:hAnsi="??_GB2312" w:cs="??_GB2312"/>
        </w:rPr>
      </w:pPr>
      <w:r>
        <w:rPr>
          <w:rFonts w:hint="eastAsia" w:ascii="宋体" w:hAnsi="宋体" w:cs="宋体"/>
        </w:rPr>
        <w:t>四平市属辽河流域，地表水较丰富。矿业废水若处理不达标排放将对地表水体造成不同程度的污染，如</w:t>
      </w:r>
      <w:r>
        <w:rPr>
          <w:rFonts w:ascii="??_GB2312" w:hAnsi="??_GB2312" w:cs="??_GB2312"/>
        </w:rPr>
        <w:t>PH</w:t>
      </w:r>
      <w:r>
        <w:rPr>
          <w:rFonts w:hint="eastAsia" w:ascii="宋体" w:hAnsi="宋体" w:cs="宋体"/>
        </w:rPr>
        <w:t>值下降及总磷、重金属、化学耗氧量、氨氮超标等。某些矿石或废渣经风化、淋滤后，其中的有害物质也会随雨水进入地表水体，污染地表水。如果能按照循环经济的理念，将矿业废水达标处理后循环利用，不仅可以降低水消耗，而且不会再对地表水环境产生影响。对矿山固体废弃物的堆放进行有效管理，避免淋滤水对地表水体的污染。</w:t>
      </w:r>
    </w:p>
    <w:p>
      <w:pPr>
        <w:spacing w:line="500" w:lineRule="exact"/>
        <w:ind w:firstLine="560"/>
        <w:rPr>
          <w:rFonts w:ascii="??_GB2312" w:hAnsi="??_GB2312" w:cs="??_GB2312"/>
        </w:rPr>
      </w:pPr>
      <w:r>
        <w:rPr>
          <w:rFonts w:ascii="??_GB2312" w:hAnsi="??_GB2312" w:cs="??_GB2312"/>
        </w:rPr>
        <w:t>2</w:t>
      </w:r>
      <w:r>
        <w:rPr>
          <w:rFonts w:hint="eastAsia" w:ascii="宋体" w:hAnsi="宋体" w:cs="宋体"/>
        </w:rPr>
        <w:t>、地下水</w:t>
      </w:r>
    </w:p>
    <w:p>
      <w:pPr>
        <w:tabs>
          <w:tab w:val="left" w:pos="426"/>
        </w:tabs>
        <w:spacing w:line="500" w:lineRule="exact"/>
        <w:ind w:firstLine="560"/>
        <w:rPr>
          <w:rFonts w:ascii="Times New Roman" w:hAnsi="Times New Roman" w:cs="Times New Roman"/>
          <w:kern w:val="0"/>
        </w:rPr>
      </w:pPr>
      <w:r>
        <w:rPr>
          <w:rFonts w:hint="eastAsia" w:ascii="宋体" w:hAnsi="宋体" w:cs="宋体"/>
          <w:kern w:val="0"/>
        </w:rPr>
        <w:t>地下水的施工开采会破坏岩层结构，从而影响隔水层和含水层，对地下水系统造成影响和破坏。另一方面，地表污水的下渗，也可能会使矿山废水污染地下水。</w:t>
      </w:r>
    </w:p>
    <w:p>
      <w:pPr>
        <w:tabs>
          <w:tab w:val="left" w:pos="426"/>
        </w:tabs>
        <w:spacing w:line="500" w:lineRule="exact"/>
        <w:ind w:firstLine="560"/>
        <w:rPr>
          <w:rFonts w:ascii="Times New Roman" w:hAnsi="Times New Roman" w:cs="Times New Roman"/>
          <w:kern w:val="0"/>
        </w:rPr>
      </w:pPr>
      <w:r>
        <w:rPr>
          <w:rFonts w:hint="eastAsia" w:ascii="宋体" w:hAnsi="宋体" w:cs="宋体"/>
          <w:kern w:val="0"/>
        </w:rPr>
        <w:t>矿泉水及地热等地下深层水开采，可能对深层地下水系统造成影响和破坏。</w:t>
      </w:r>
    </w:p>
    <w:p>
      <w:pPr>
        <w:spacing w:line="500" w:lineRule="exact"/>
        <w:ind w:firstLine="562"/>
        <w:rPr>
          <w:rFonts w:ascii="??_GB2312" w:hAnsi="??_GB2312" w:cs="??_GB2312"/>
          <w:b/>
          <w:bCs/>
        </w:rPr>
      </w:pPr>
      <w:r>
        <w:rPr>
          <w:rFonts w:hint="eastAsia" w:ascii="宋体" w:hAnsi="宋体" w:cs="宋体"/>
          <w:b/>
          <w:bCs/>
        </w:rPr>
        <w:t>三、土壤环境影响</w:t>
      </w:r>
    </w:p>
    <w:p>
      <w:pPr>
        <w:tabs>
          <w:tab w:val="left" w:pos="426"/>
        </w:tabs>
        <w:spacing w:line="500" w:lineRule="exact"/>
        <w:ind w:firstLine="560"/>
        <w:rPr>
          <w:rFonts w:ascii="Times New Roman" w:hAnsi="Times New Roman" w:cs="Times New Roman"/>
          <w:kern w:val="0"/>
        </w:rPr>
      </w:pPr>
      <w:r>
        <w:rPr>
          <w:rFonts w:hint="eastAsia" w:ascii="宋体" w:hAnsi="宋体" w:cs="宋体"/>
          <w:kern w:val="0"/>
        </w:rPr>
        <w:t>矿山在开采施工过程中，扰动地表及土壤层次结构，破坏耕作层，损坏植被，破坏了原生地表抗蚀能力与外营力间的相对平衡。采矿活动造成局部土壤成分发生不同程度变化。</w:t>
      </w:r>
    </w:p>
    <w:p>
      <w:pPr>
        <w:spacing w:line="500" w:lineRule="exact"/>
        <w:ind w:firstLine="562"/>
        <w:rPr>
          <w:rFonts w:ascii="??_GB2312" w:hAnsi="??_GB2312" w:cs="??_GB2312"/>
          <w:b/>
          <w:bCs/>
        </w:rPr>
      </w:pPr>
      <w:r>
        <w:rPr>
          <w:rFonts w:hint="eastAsia" w:ascii="宋体" w:hAnsi="宋体" w:cs="宋体"/>
          <w:b/>
          <w:bCs/>
        </w:rPr>
        <w:t>四、固体废物</w:t>
      </w:r>
    </w:p>
    <w:p>
      <w:pPr>
        <w:spacing w:line="500" w:lineRule="exact"/>
        <w:ind w:firstLine="560"/>
        <w:rPr>
          <w:rFonts w:ascii="??_GB2312" w:hAnsi="??_GB2312" w:cs="??_GB2312"/>
        </w:rPr>
      </w:pPr>
      <w:r>
        <w:rPr>
          <w:rFonts w:hint="eastAsia" w:ascii="宋体" w:hAnsi="宋体" w:cs="宋体"/>
        </w:rPr>
        <w:t>规划项目建设期间固体废物主要有废弃的土石方、建筑垃圾以及施工人员产生的生活垃圾等。对此，排弃的土石方和建筑垃圾应统一运到各排废石场处置，并注意堆放安全。规划项目生产期间排放的固体废物主要包括废石、废渣、生活垃圾等。废石、废渣等应有专门的场地堆放。生活垃圾由当地环卫部门统一集中处置。</w:t>
      </w:r>
    </w:p>
    <w:p>
      <w:pPr>
        <w:spacing w:line="500" w:lineRule="exact"/>
        <w:ind w:firstLine="562"/>
        <w:rPr>
          <w:rFonts w:ascii="??_GB2312" w:hAnsi="??_GB2312" w:cs="??_GB2312"/>
          <w:b/>
          <w:bCs/>
        </w:rPr>
      </w:pPr>
      <w:r>
        <w:rPr>
          <w:rFonts w:hint="eastAsia" w:ascii="宋体" w:hAnsi="宋体" w:cs="宋体"/>
          <w:b/>
          <w:bCs/>
        </w:rPr>
        <w:t>五、生态环境影响</w:t>
      </w:r>
    </w:p>
    <w:p>
      <w:pPr>
        <w:spacing w:line="500" w:lineRule="exact"/>
        <w:ind w:firstLine="560"/>
        <w:rPr>
          <w:rFonts w:ascii="??_GB2312" w:hAnsi="??_GB2312" w:cs="??_GB2312"/>
        </w:rPr>
      </w:pPr>
      <w:r>
        <w:rPr>
          <w:rFonts w:ascii="??_GB2312" w:hAnsi="??_GB2312" w:cs="??_GB2312"/>
        </w:rPr>
        <w:t>1</w:t>
      </w:r>
      <w:r>
        <w:rPr>
          <w:rFonts w:hint="eastAsia" w:ascii="宋体" w:hAnsi="宋体" w:cs="宋体"/>
        </w:rPr>
        <w:t>、土地利用、覆盖度变化</w:t>
      </w:r>
    </w:p>
    <w:p>
      <w:pPr>
        <w:spacing w:line="500" w:lineRule="exact"/>
        <w:ind w:firstLine="560"/>
        <w:rPr>
          <w:rFonts w:ascii="??_GB2312" w:hAnsi="??_GB2312" w:cs="??_GB2312"/>
        </w:rPr>
      </w:pPr>
      <w:r>
        <w:rPr>
          <w:rFonts w:hint="eastAsia" w:ascii="宋体" w:hAnsi="宋体" w:cs="宋体"/>
        </w:rPr>
        <w:t>新建矿山建设需占用土地，矿山开采破坏土地导致土地用途的改变，可能诱发地质灾害。</w:t>
      </w:r>
    </w:p>
    <w:p>
      <w:pPr>
        <w:spacing w:line="500" w:lineRule="exact"/>
        <w:ind w:firstLine="560"/>
        <w:rPr>
          <w:rFonts w:ascii="??_GB2312" w:hAnsi="??_GB2312" w:cs="??_GB2312"/>
        </w:rPr>
      </w:pPr>
      <w:r>
        <w:rPr>
          <w:rFonts w:ascii="??_GB2312" w:hAnsi="??_GB2312" w:cs="??_GB2312"/>
        </w:rPr>
        <w:t>2</w:t>
      </w:r>
      <w:r>
        <w:rPr>
          <w:rFonts w:hint="eastAsia" w:ascii="宋体" w:hAnsi="宋体" w:cs="宋体"/>
        </w:rPr>
        <w:t>、水土流失</w:t>
      </w:r>
    </w:p>
    <w:p>
      <w:pPr>
        <w:spacing w:line="500" w:lineRule="exact"/>
        <w:ind w:firstLine="560"/>
        <w:rPr>
          <w:rFonts w:ascii="??_GB2312" w:hAnsi="??_GB2312" w:cs="??_GB2312"/>
        </w:rPr>
      </w:pPr>
      <w:r>
        <w:rPr>
          <w:rFonts w:hint="eastAsia" w:ascii="宋体" w:hAnsi="宋体" w:cs="宋体"/>
        </w:rPr>
        <w:t>新建矿山项目主要分布在山区或丘陵地区，矿山建设开挖土石方，破坏植被和土石结构，会造成边坡垮塌。矿山生产期间的采坑、工业场地、废石、废渣等在水力侵蚀作用下增加水土流失。</w:t>
      </w:r>
    </w:p>
    <w:p>
      <w:pPr>
        <w:spacing w:line="500" w:lineRule="exact"/>
        <w:ind w:firstLine="560"/>
        <w:rPr>
          <w:rFonts w:ascii="??_GB2312" w:hAnsi="??_GB2312" w:cs="??_GB2312"/>
        </w:rPr>
      </w:pPr>
      <w:r>
        <w:rPr>
          <w:rFonts w:ascii="??_GB2312" w:hAnsi="??_GB2312" w:cs="??_GB2312"/>
        </w:rPr>
        <w:t>3</w:t>
      </w:r>
      <w:r>
        <w:rPr>
          <w:rFonts w:hint="eastAsia" w:ascii="宋体" w:hAnsi="宋体" w:cs="宋体"/>
        </w:rPr>
        <w:t>、地貌景观</w:t>
      </w:r>
    </w:p>
    <w:p>
      <w:pPr>
        <w:spacing w:line="500" w:lineRule="exact"/>
        <w:ind w:firstLine="560"/>
        <w:rPr>
          <w:rFonts w:ascii="??_GB2312" w:hAnsi="??_GB2312" w:cs="??_GB2312"/>
        </w:rPr>
      </w:pPr>
      <w:r>
        <w:rPr>
          <w:rFonts w:hint="eastAsia" w:ascii="宋体" w:hAnsi="宋体" w:cs="宋体"/>
        </w:rPr>
        <w:t>水泥用灰岩（大理岩）和建筑用石料等矿产的开采均为露天开采，对地形地貌的破坏很大。矿山企业在开采矿产资源的同时按设计进行景观的恢复。</w:t>
      </w:r>
    </w:p>
    <w:p>
      <w:pPr>
        <w:spacing w:line="500" w:lineRule="exact"/>
        <w:ind w:firstLine="562"/>
        <w:rPr>
          <w:rFonts w:ascii="??_GB2312" w:hAnsi="??_GB2312" w:cs="??_GB2312"/>
          <w:b/>
          <w:bCs/>
        </w:rPr>
      </w:pPr>
      <w:r>
        <w:rPr>
          <w:rFonts w:hint="eastAsia" w:ascii="宋体" w:hAnsi="宋体" w:cs="宋体"/>
          <w:b/>
          <w:bCs/>
        </w:rPr>
        <w:t>六、森林资源的影响</w:t>
      </w:r>
    </w:p>
    <w:p>
      <w:pPr>
        <w:spacing w:line="500" w:lineRule="exact"/>
        <w:ind w:firstLine="560"/>
        <w:rPr>
          <w:rFonts w:ascii="??_GB2312" w:hAnsi="??_GB2312" w:cs="??_GB2312"/>
        </w:rPr>
      </w:pPr>
      <w:r>
        <w:rPr>
          <w:rFonts w:hint="eastAsia" w:ascii="宋体" w:hAnsi="宋体" w:cs="宋体"/>
        </w:rPr>
        <w:t>对森林资源的影响表现在森林面积减少。但与全市林地面积相比只占极小比例，因此对四平市的森林资源影响较小。按有关规定，矿山须进行异地植被恢复，通过异地植被恢复造林，可使四平市的林地面积不减，对区域森林覆盖率不会构成影响。</w:t>
      </w:r>
    </w:p>
    <w:p>
      <w:pPr>
        <w:spacing w:line="500" w:lineRule="exact"/>
        <w:ind w:firstLine="562"/>
        <w:rPr>
          <w:rFonts w:ascii="??_GB2312" w:hAnsi="??_GB2312" w:cs="??_GB2312"/>
          <w:b/>
          <w:bCs/>
        </w:rPr>
      </w:pPr>
      <w:r>
        <w:rPr>
          <w:rFonts w:hint="eastAsia" w:ascii="宋体" w:hAnsi="宋体" w:cs="宋体"/>
          <w:b/>
          <w:bCs/>
        </w:rPr>
        <w:t>七、动植物的影响</w:t>
      </w:r>
    </w:p>
    <w:p>
      <w:pPr>
        <w:spacing w:line="500" w:lineRule="exact"/>
        <w:ind w:firstLine="560"/>
        <w:rPr>
          <w:rFonts w:ascii="??_GB2312" w:hAnsi="??_GB2312" w:cs="??_GB2312"/>
        </w:rPr>
      </w:pPr>
      <w:r>
        <w:rPr>
          <w:rFonts w:hint="eastAsia" w:ascii="宋体" w:hAnsi="宋体" w:cs="宋体"/>
        </w:rPr>
        <w:t>四平市树木品种较少，草本植物种类繁多，没有国家和省重点保护动物。矿山建设需要占用林地不会减少该区域内动植物的种类和数量，不会改变动植物物种的多样性。</w:t>
      </w:r>
    </w:p>
    <w:p>
      <w:pPr>
        <w:pStyle w:val="5"/>
        <w:ind w:firstLine="0" w:firstLineChars="0"/>
        <w:rPr>
          <w:rFonts w:ascii="??_GB2312" w:hAnsi="??_GB2312" w:cs="??_GB2312"/>
        </w:rPr>
      </w:pPr>
      <w:bookmarkStart w:id="112" w:name="_Toc109168682"/>
      <w:bookmarkStart w:id="113" w:name="_Toc109168964"/>
      <w:bookmarkStart w:id="114" w:name="_Toc6908"/>
      <w:bookmarkStart w:id="115" w:name="_Toc109202925"/>
      <w:r>
        <w:rPr>
          <w:rFonts w:hint="eastAsia" w:ascii="宋体" w:hAnsi="宋体" w:eastAsia="宋体" w:cs="宋体"/>
        </w:rPr>
        <w:t>第三节</w:t>
      </w:r>
      <w:r>
        <w:rPr>
          <w:rFonts w:ascii="??_GB2312" w:hAnsi="??_GB2312" w:cs="??_GB2312"/>
        </w:rPr>
        <w:t xml:space="preserve"> </w:t>
      </w:r>
      <w:r>
        <w:rPr>
          <w:rFonts w:hint="eastAsia" w:ascii="宋体" w:hAnsi="宋体" w:eastAsia="宋体" w:cs="宋体"/>
        </w:rPr>
        <w:t>减轻矿山环境影响的措施</w:t>
      </w:r>
      <w:bookmarkEnd w:id="112"/>
      <w:bookmarkEnd w:id="113"/>
      <w:bookmarkEnd w:id="114"/>
      <w:bookmarkEnd w:id="115"/>
    </w:p>
    <w:p>
      <w:pPr>
        <w:spacing w:line="500" w:lineRule="exact"/>
        <w:ind w:firstLine="560"/>
        <w:rPr>
          <w:rFonts w:ascii="??_GB2312" w:hAnsi="??_GB2312" w:cs="??_GB2312"/>
        </w:rPr>
      </w:pPr>
      <w:r>
        <w:rPr>
          <w:rFonts w:hint="eastAsia" w:ascii="宋体" w:hAnsi="宋体" w:cs="宋体"/>
        </w:rPr>
        <w:t>为减轻矿业开发利用对环境的影响程度，根据四平市情况提出以下具体措施：</w:t>
      </w:r>
    </w:p>
    <w:p>
      <w:pPr>
        <w:spacing w:line="500" w:lineRule="exact"/>
        <w:ind w:firstLine="560"/>
        <w:rPr>
          <w:rFonts w:ascii="??_GB2312" w:hAnsi="??_GB2312" w:cs="??_GB2312"/>
        </w:rPr>
      </w:pPr>
      <w:r>
        <w:rPr>
          <w:rFonts w:hint="eastAsia" w:ascii="宋体" w:hAnsi="宋体" w:cs="宋体"/>
        </w:rPr>
        <w:t>一、矿产资源管理部门会同生态环境保护、林业等部门，依据有关法律法规，实行统一规划、分区管理、分类治理和分步实施的矿山环境监督管理办法。编制符合实际、切实可行、易于实施的矿山地质环境保护与土地复垦方案，为矿山环境保护与治理恢复提供依据。同时，加强对矿山环境保护与治理的日常监督检查，监督环境治理工程的有效实施。</w:t>
      </w:r>
    </w:p>
    <w:p>
      <w:pPr>
        <w:spacing w:line="500" w:lineRule="exact"/>
        <w:ind w:firstLine="560"/>
        <w:rPr>
          <w:rFonts w:ascii="??_GB2312" w:hAnsi="??_GB2312" w:cs="??_GB2312"/>
        </w:rPr>
      </w:pPr>
      <w:r>
        <w:rPr>
          <w:rFonts w:hint="eastAsia" w:ascii="宋体" w:hAnsi="宋体" w:cs="宋体"/>
        </w:rPr>
        <w:t>二、认真执行矿山环境治理与治理恢复基金制度，规范计提生态修复基金的使用，提高资金利用效率，使矿山环境治理资金得到保证。针对不同矿山，采取符合矿山实际的不同政策措施。积极拓宽融资渠道，引进社会资金进行矿山环境恢复治理。</w:t>
      </w:r>
    </w:p>
    <w:p>
      <w:pPr>
        <w:spacing w:line="500" w:lineRule="exact"/>
        <w:ind w:firstLine="560"/>
        <w:rPr>
          <w:rFonts w:ascii="??_GB2312" w:hAnsi="??_GB2312" w:cs="??_GB2312"/>
        </w:rPr>
      </w:pPr>
      <w:r>
        <w:rPr>
          <w:rFonts w:hint="eastAsia" w:ascii="宋体" w:hAnsi="宋体" w:cs="宋体"/>
        </w:rPr>
        <w:t>三、新建矿山做到绿色勘查、绿色开采，在矿山生产周期内完成矿产资源开发与矿区环境治理协调一致。生产矿山要改进矿产资源开发利用方式，提高开发利用水平，推进绿色矿山建设。</w:t>
      </w:r>
    </w:p>
    <w:p>
      <w:pPr>
        <w:spacing w:line="500" w:lineRule="exact"/>
        <w:ind w:firstLine="560"/>
        <w:rPr>
          <w:rFonts w:ascii="??_GB2312" w:hAnsi="??_GB2312" w:cs="??_GB2312"/>
        </w:rPr>
      </w:pPr>
      <w:r>
        <w:rPr>
          <w:rFonts w:hint="eastAsia" w:ascii="宋体" w:hAnsi="宋体" w:cs="宋体"/>
        </w:rPr>
        <w:t>四、新建、改扩建矿山严格执行矿山建设用地审批制度、地质环境影响评估、环境影响评价制度和环境准入条件制度。严格按照批准的矿山设计或开发利用方案中有关环境保护的要求，明确绿色矿山建成时限，保证主体工程建设与环境保护设施建设同时设计、同时施工、同时验收并交付使用。</w:t>
      </w:r>
    </w:p>
    <w:p>
      <w:pPr>
        <w:spacing w:line="500" w:lineRule="exact"/>
        <w:ind w:firstLine="560"/>
        <w:rPr>
          <w:rFonts w:ascii="宋体" w:hAnsi="宋体" w:cs="宋体"/>
        </w:rPr>
      </w:pPr>
      <w:r>
        <w:rPr>
          <w:rFonts w:hint="eastAsia" w:ascii="宋体" w:hAnsi="宋体" w:cs="宋体"/>
        </w:rPr>
        <w:t>五、采取有效措施，提高矿产资源</w:t>
      </w:r>
      <w:r>
        <w:rPr>
          <w:rFonts w:ascii="??_GB2312" w:hAnsi="??_GB2312" w:cs="??_GB2312"/>
        </w:rPr>
        <w:t>“</w:t>
      </w:r>
      <w:r>
        <w:rPr>
          <w:rFonts w:hint="eastAsia" w:ascii="宋体" w:hAnsi="宋体" w:cs="宋体"/>
        </w:rPr>
        <w:t>三率</w:t>
      </w:r>
      <w:r>
        <w:rPr>
          <w:rFonts w:ascii="??_GB2312" w:hAnsi="??_GB2312" w:cs="??_GB2312"/>
        </w:rPr>
        <w:t>”</w:t>
      </w:r>
      <w:r>
        <w:rPr>
          <w:rFonts w:hint="eastAsia" w:ascii="宋体" w:hAnsi="宋体" w:cs="宋体"/>
        </w:rPr>
        <w:t>指标，</w:t>
      </w:r>
      <w:r>
        <w:rPr>
          <w:rFonts w:ascii="??_GB2312" w:hAnsi="??_GB2312" w:cs="??_GB2312"/>
        </w:rPr>
        <w:t>“</w:t>
      </w:r>
      <w:r>
        <w:rPr>
          <w:rFonts w:hint="eastAsia" w:ascii="宋体" w:hAnsi="宋体" w:cs="宋体"/>
        </w:rPr>
        <w:t>三率</w:t>
      </w:r>
      <w:r>
        <w:rPr>
          <w:rFonts w:ascii="??_GB2312" w:hAnsi="??_GB2312" w:cs="??_GB2312"/>
        </w:rPr>
        <w:t>”</w:t>
      </w:r>
      <w:r>
        <w:rPr>
          <w:rFonts w:hint="eastAsia" w:ascii="宋体" w:hAnsi="宋体" w:cs="宋体"/>
        </w:rPr>
        <w:t>指标必须满足相关规定要求。不得采用国家限制和淘汰的采选技术、工艺和设备，减轻矿业活动对矿山环境的污染和破坏。</w:t>
      </w:r>
    </w:p>
    <w:p>
      <w:pPr>
        <w:spacing w:line="500" w:lineRule="exact"/>
        <w:ind w:firstLine="560"/>
        <w:rPr>
          <w:rFonts w:ascii="??_GB2312" w:hAnsi="??_GB2312" w:cs="??_GB2312"/>
        </w:rPr>
      </w:pPr>
      <w:r>
        <w:rPr>
          <w:rFonts w:hint="eastAsia" w:ascii="宋体" w:hAnsi="宋体" w:cs="宋体"/>
        </w:rPr>
        <w:t>六、矿山企业严格按照</w:t>
      </w:r>
      <w:r>
        <w:rPr>
          <w:rFonts w:ascii="??_GB2312" w:hAnsi="??_GB2312" w:cs="??_GB2312"/>
        </w:rPr>
        <w:t>“</w:t>
      </w:r>
      <w:r>
        <w:rPr>
          <w:rFonts w:hint="eastAsia" w:ascii="宋体" w:hAnsi="宋体" w:cs="宋体"/>
        </w:rPr>
        <w:t>节能减排</w:t>
      </w:r>
      <w:r>
        <w:rPr>
          <w:rFonts w:ascii="??_GB2312" w:hAnsi="??_GB2312" w:cs="??_GB2312"/>
        </w:rPr>
        <w:t>”</w:t>
      </w:r>
      <w:r>
        <w:rPr>
          <w:rFonts w:hint="eastAsia" w:ascii="宋体" w:hAnsi="宋体" w:cs="宋体"/>
        </w:rPr>
        <w:t>要求，采取有效措施，从源头上减少</w:t>
      </w:r>
      <w:r>
        <w:rPr>
          <w:rFonts w:ascii="??_GB2312" w:hAnsi="??_GB2312" w:cs="??_GB2312"/>
        </w:rPr>
        <w:t>“</w:t>
      </w:r>
      <w:r>
        <w:rPr>
          <w:rFonts w:hint="eastAsia" w:ascii="宋体" w:hAnsi="宋体" w:cs="宋体"/>
        </w:rPr>
        <w:t>三废</w:t>
      </w:r>
      <w:r>
        <w:rPr>
          <w:rFonts w:ascii="??_GB2312" w:hAnsi="??_GB2312" w:cs="??_GB2312"/>
        </w:rPr>
        <w:t>”</w:t>
      </w:r>
      <w:r>
        <w:rPr>
          <w:rFonts w:hint="eastAsia" w:ascii="宋体" w:hAnsi="宋体" w:cs="宋体"/>
        </w:rPr>
        <w:t>的排放。逐步建立完善的矿山环境监测体系及定期报告制度，加强对矿业活动可能造成的矿山环境问题和地质灾害的监测预报。加强</w:t>
      </w:r>
      <w:r>
        <w:rPr>
          <w:rFonts w:ascii="??_GB2312" w:hAnsi="??_GB2312" w:cs="??_GB2312"/>
        </w:rPr>
        <w:t>“</w:t>
      </w:r>
      <w:r>
        <w:rPr>
          <w:rFonts w:hint="eastAsia" w:ascii="宋体" w:hAnsi="宋体" w:cs="宋体"/>
        </w:rPr>
        <w:t>三废</w:t>
      </w:r>
      <w:r>
        <w:rPr>
          <w:rFonts w:ascii="??_GB2312" w:hAnsi="??_GB2312" w:cs="??_GB2312"/>
        </w:rPr>
        <w:t>”</w:t>
      </w:r>
      <w:r>
        <w:rPr>
          <w:rFonts w:hint="eastAsia" w:ascii="宋体" w:hAnsi="宋体" w:cs="宋体"/>
        </w:rPr>
        <w:t>的综合利用与回收。</w:t>
      </w:r>
    </w:p>
    <w:p>
      <w:pPr>
        <w:pStyle w:val="5"/>
        <w:ind w:firstLine="0" w:firstLineChars="0"/>
        <w:rPr>
          <w:rFonts w:ascii="??_GB2312" w:hAnsi="??_GB2312" w:cs="??_GB2312"/>
        </w:rPr>
      </w:pPr>
      <w:bookmarkStart w:id="116" w:name="_Toc109168683"/>
      <w:bookmarkStart w:id="117" w:name="_Toc109202926"/>
      <w:bookmarkStart w:id="118" w:name="_Toc9576"/>
      <w:bookmarkStart w:id="119" w:name="_Toc109168965"/>
      <w:r>
        <w:rPr>
          <w:rFonts w:hint="eastAsia" w:ascii="宋体" w:hAnsi="宋体" w:eastAsia="宋体" w:cs="宋体"/>
        </w:rPr>
        <w:t>第四节</w:t>
      </w:r>
      <w:r>
        <w:rPr>
          <w:rFonts w:ascii="??_GB2312" w:hAnsi="??_GB2312" w:cs="??_GB2312"/>
        </w:rPr>
        <w:t xml:space="preserve"> </w:t>
      </w:r>
      <w:r>
        <w:rPr>
          <w:rFonts w:hint="eastAsia" w:ascii="宋体" w:hAnsi="宋体" w:eastAsia="宋体" w:cs="宋体"/>
        </w:rPr>
        <w:t>结论</w:t>
      </w:r>
      <w:bookmarkEnd w:id="116"/>
      <w:bookmarkEnd w:id="117"/>
      <w:bookmarkEnd w:id="118"/>
      <w:bookmarkEnd w:id="119"/>
    </w:p>
    <w:p>
      <w:pPr>
        <w:spacing w:line="500" w:lineRule="exact"/>
        <w:ind w:firstLine="560"/>
        <w:rPr>
          <w:rFonts w:hint="eastAsia" w:ascii="宋体" w:hAnsi="宋体" w:cs="宋体"/>
          <w:lang w:val="en-US" w:eastAsia="zh-CN"/>
        </w:rPr>
      </w:pPr>
      <w:r>
        <w:rPr>
          <w:rFonts w:hint="eastAsia" w:ascii="宋体" w:hAnsi="宋体" w:cs="宋体"/>
        </w:rPr>
        <w:t>《规划》符合国家相关产业政策和《四平市国民经济和社会发展第十四个五年规划和</w:t>
      </w:r>
      <w:r>
        <w:rPr>
          <w:rFonts w:ascii="??_GB2312" w:hAnsi="??_GB2312" w:cs="??_GB2312"/>
        </w:rPr>
        <w:t>2035</w:t>
      </w:r>
      <w:r>
        <w:rPr>
          <w:rFonts w:hint="eastAsia" w:ascii="宋体" w:hAnsi="宋体" w:cs="宋体"/>
        </w:rPr>
        <w:t>年远景目标纲要》《吉林省矿产资源总体规划（</w:t>
      </w:r>
      <w:r>
        <w:rPr>
          <w:rFonts w:ascii="??_GB2312" w:hAnsi="??_GB2312" w:cs="??_GB2312"/>
        </w:rPr>
        <w:t>2021-2025</w:t>
      </w:r>
      <w:r>
        <w:rPr>
          <w:rFonts w:hint="eastAsia" w:ascii="宋体" w:hAnsi="宋体" w:cs="宋体"/>
        </w:rPr>
        <w:t>年</w:t>
      </w:r>
      <w:r>
        <w:rPr>
          <w:rFonts w:ascii="??_GB2312" w:hAnsi="??_GB2312" w:cs="??_GB2312"/>
        </w:rPr>
        <w:t>)</w:t>
      </w:r>
      <w:r>
        <w:rPr>
          <w:rFonts w:hint="eastAsia" w:ascii="宋体" w:hAnsi="宋体" w:cs="宋体"/>
        </w:rPr>
        <w:t>》。在贯彻落实国家和吉林省相关环境保护政策的前提下，提出了有关矿山地质环境保护和减缓环境影响的措施。规划期内，矿产资源开发对当地大气环境、水环境、声环境、森林环境及生态环境的影响不改变现有环境功能，保持矿区环境承载力不降低。通过矿山地质环境治理项目的实施，全市的矿区环境将逐步向绿色矿业发展。《规划》实施后将提升矿产资源对区域的经济发展的保障能力，促进全市的经济效益、社会效益和环境效益的协调发展。</w:t>
      </w:r>
    </w:p>
    <w:sectPr>
      <w:type w:val="continuous"/>
      <w:pgSz w:w="11906" w:h="16838"/>
      <w:pgMar w:top="1418" w:right="1418" w:bottom="1418" w:left="1418" w:header="851" w:footer="567"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p>
  <w:p>
    <w:pPr>
      <w:pStyle w:val="13"/>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p>
  <w:p>
    <w:pPr>
      <w:pStyle w:val="13"/>
      <w:ind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p>
  <w:p>
    <w:pPr>
      <w:pStyle w:val="13"/>
      <w:ind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jc w:val="center"/>
                            <w:rPr>
                              <w:rFonts w:cs="Times New Roman"/>
                            </w:rPr>
                          </w:pPr>
                          <w:r>
                            <w:fldChar w:fldCharType="begin"/>
                          </w:r>
                          <w:r>
                            <w:instrText xml:space="preserve"> PAGE   \* MERGEFORMAT </w:instrText>
                          </w:r>
                          <w:r>
                            <w:fldChar w:fldCharType="separate"/>
                          </w:r>
                          <w:r>
                            <w:rPr>
                              <w:lang w:val="zh-CN"/>
                            </w:rPr>
                            <w:t>28</w:t>
                          </w:r>
                          <w:r>
                            <w:rPr>
                              <w:lang w:val="zh-CN"/>
                            </w:rPr>
                            <w:fldChar w:fldCharType="end"/>
                          </w:r>
                        </w:p>
                        <w:p>
                          <w:pPr>
                            <w:ind w:firstLine="560"/>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3"/>
                      <w:ind w:firstLine="360"/>
                      <w:jc w:val="center"/>
                      <w:rPr>
                        <w:rFonts w:cs="Times New Roman"/>
                      </w:rPr>
                    </w:pPr>
                    <w:r>
                      <w:fldChar w:fldCharType="begin"/>
                    </w:r>
                    <w:r>
                      <w:instrText xml:space="preserve"> PAGE   \* MERGEFORMAT </w:instrText>
                    </w:r>
                    <w:r>
                      <w:fldChar w:fldCharType="separate"/>
                    </w:r>
                    <w:r>
                      <w:rPr>
                        <w:lang w:val="zh-CN"/>
                      </w:rPr>
                      <w:t>28</w:t>
                    </w:r>
                    <w:r>
                      <w:rPr>
                        <w:lang w:val="zh-CN"/>
                      </w:rPr>
                      <w:fldChar w:fldCharType="end"/>
                    </w:r>
                  </w:p>
                  <w:p>
                    <w:pPr>
                      <w:ind w:firstLine="560"/>
                      <w:rPr>
                        <w:rFonts w:cs="Times New Roman"/>
                      </w:rPr>
                    </w:pPr>
                  </w:p>
                </w:txbxContent>
              </v:textbox>
            </v:shape>
          </w:pict>
        </mc:Fallback>
      </mc:AlternateContent>
    </w:r>
  </w:p>
  <w:p>
    <w:pPr>
      <w:pStyle w:val="13"/>
      <w:ind w:firstLine="36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ind w:firstLine="560"/>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ind w:firstLine="560"/>
                      <w:rPr>
                        <w:rFonts w:cs="Times New Roman"/>
                      </w:rPr>
                    </w:pPr>
                  </w:p>
                </w:txbxContent>
              </v:textbox>
            </v:shape>
          </w:pict>
        </mc:Fallback>
      </mc:AlternateContent>
    </w:r>
  </w:p>
  <w:p>
    <w:pPr>
      <w:pStyle w:val="13"/>
      <w:ind w:firstLine="360"/>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jc w:val="center"/>
                            <w:rPr>
                              <w:rFonts w:cs="Times New Roman"/>
                            </w:rPr>
                          </w:pPr>
                          <w:r>
                            <w:fldChar w:fldCharType="begin"/>
                          </w:r>
                          <w:r>
                            <w:instrText xml:space="preserve"> PAGE   \* MERGEFORMAT </w:instrText>
                          </w:r>
                          <w:r>
                            <w:fldChar w:fldCharType="separate"/>
                          </w:r>
                          <w:r>
                            <w:rPr>
                              <w:lang w:val="zh-CN"/>
                            </w:rPr>
                            <w:t>22</w:t>
                          </w:r>
                          <w:r>
                            <w:rPr>
                              <w:lang w:val="zh-CN"/>
                            </w:rPr>
                            <w:fldChar w:fldCharType="end"/>
                          </w:r>
                        </w:p>
                        <w:p>
                          <w:pPr>
                            <w:ind w:firstLine="560"/>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jc w:val="center"/>
                      <w:rPr>
                        <w:rFonts w:cs="Times New Roman"/>
                      </w:rPr>
                    </w:pPr>
                    <w:r>
                      <w:fldChar w:fldCharType="begin"/>
                    </w:r>
                    <w:r>
                      <w:instrText xml:space="preserve"> PAGE   \* MERGEFORMAT </w:instrText>
                    </w:r>
                    <w:r>
                      <w:fldChar w:fldCharType="separate"/>
                    </w:r>
                    <w:r>
                      <w:rPr>
                        <w:lang w:val="zh-CN"/>
                      </w:rPr>
                      <w:t>22</w:t>
                    </w:r>
                    <w:r>
                      <w:rPr>
                        <w:lang w:val="zh-CN"/>
                      </w:rPr>
                      <w:fldChar w:fldCharType="end"/>
                    </w:r>
                  </w:p>
                  <w:p>
                    <w:pPr>
                      <w:ind w:firstLine="560"/>
                      <w:rPr>
                        <w:rFonts w:cs="Times New Roman"/>
                      </w:rPr>
                    </w:pPr>
                  </w:p>
                </w:txbxContent>
              </v:textbox>
            </v:shape>
          </w:pict>
        </mc:Fallback>
      </mc:AlternateContent>
    </w:r>
  </w:p>
  <w:p>
    <w:pPr>
      <w:pStyle w:val="13"/>
      <w:ind w:firstLine="360"/>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ind w:firstLine="560"/>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ind w:firstLine="560"/>
                      <w:rPr>
                        <w:rFonts w:cs="Times New Roman"/>
                      </w:rPr>
                    </w:pPr>
                  </w:p>
                </w:txbxContent>
              </v:textbox>
            </v:shape>
          </w:pict>
        </mc:Fallback>
      </mc:AlternateContent>
    </w:r>
  </w:p>
  <w:p>
    <w:pPr>
      <w:pStyle w:val="13"/>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DNhN2I3NzFhODQ0Zjg3NTc3OGZhNGNlY2U3NWMifQ=="/>
  </w:docVars>
  <w:rsids>
    <w:rsidRoot w:val="00F5430F"/>
    <w:rsid w:val="00005574"/>
    <w:rsid w:val="0003390C"/>
    <w:rsid w:val="00040436"/>
    <w:rsid w:val="000422A7"/>
    <w:rsid w:val="00066E3D"/>
    <w:rsid w:val="00066FAC"/>
    <w:rsid w:val="000814EA"/>
    <w:rsid w:val="000A23FC"/>
    <w:rsid w:val="000B7275"/>
    <w:rsid w:val="000C0B3F"/>
    <w:rsid w:val="000D509F"/>
    <w:rsid w:val="000E1052"/>
    <w:rsid w:val="000E7726"/>
    <w:rsid w:val="000F5EE3"/>
    <w:rsid w:val="000F61ED"/>
    <w:rsid w:val="00131D00"/>
    <w:rsid w:val="00134A6E"/>
    <w:rsid w:val="00136467"/>
    <w:rsid w:val="001534BE"/>
    <w:rsid w:val="00180AC4"/>
    <w:rsid w:val="001875FC"/>
    <w:rsid w:val="00187F48"/>
    <w:rsid w:val="001B7989"/>
    <w:rsid w:val="001C179F"/>
    <w:rsid w:val="0020554A"/>
    <w:rsid w:val="00216327"/>
    <w:rsid w:val="00237B0E"/>
    <w:rsid w:val="00244F5F"/>
    <w:rsid w:val="002506CF"/>
    <w:rsid w:val="00261A5D"/>
    <w:rsid w:val="00295532"/>
    <w:rsid w:val="002A0467"/>
    <w:rsid w:val="002B2786"/>
    <w:rsid w:val="002B54A6"/>
    <w:rsid w:val="002B7602"/>
    <w:rsid w:val="002C1FB5"/>
    <w:rsid w:val="002D5C8B"/>
    <w:rsid w:val="003058E6"/>
    <w:rsid w:val="003109F2"/>
    <w:rsid w:val="003120A6"/>
    <w:rsid w:val="0031606D"/>
    <w:rsid w:val="0032788A"/>
    <w:rsid w:val="0036364E"/>
    <w:rsid w:val="0037184E"/>
    <w:rsid w:val="00395E28"/>
    <w:rsid w:val="003A3413"/>
    <w:rsid w:val="003B20C3"/>
    <w:rsid w:val="003D0084"/>
    <w:rsid w:val="003E5215"/>
    <w:rsid w:val="00405771"/>
    <w:rsid w:val="004113AD"/>
    <w:rsid w:val="004161F6"/>
    <w:rsid w:val="00431ED5"/>
    <w:rsid w:val="00432938"/>
    <w:rsid w:val="00447749"/>
    <w:rsid w:val="004539FB"/>
    <w:rsid w:val="00465887"/>
    <w:rsid w:val="004815E1"/>
    <w:rsid w:val="0049280D"/>
    <w:rsid w:val="004A107A"/>
    <w:rsid w:val="004A60D8"/>
    <w:rsid w:val="004B31AC"/>
    <w:rsid w:val="004B40A3"/>
    <w:rsid w:val="004C483D"/>
    <w:rsid w:val="004D479B"/>
    <w:rsid w:val="004F1488"/>
    <w:rsid w:val="00503EF2"/>
    <w:rsid w:val="00505E3C"/>
    <w:rsid w:val="005108E2"/>
    <w:rsid w:val="00511F12"/>
    <w:rsid w:val="00545BDB"/>
    <w:rsid w:val="00552BEE"/>
    <w:rsid w:val="00562CB6"/>
    <w:rsid w:val="005728FF"/>
    <w:rsid w:val="00584F55"/>
    <w:rsid w:val="00585631"/>
    <w:rsid w:val="005B0488"/>
    <w:rsid w:val="005B49AE"/>
    <w:rsid w:val="005B7D59"/>
    <w:rsid w:val="005C11BC"/>
    <w:rsid w:val="005C1718"/>
    <w:rsid w:val="005C3A12"/>
    <w:rsid w:val="0060152D"/>
    <w:rsid w:val="00607846"/>
    <w:rsid w:val="00622B05"/>
    <w:rsid w:val="006853AE"/>
    <w:rsid w:val="006A5B09"/>
    <w:rsid w:val="006B4ECA"/>
    <w:rsid w:val="006B62CA"/>
    <w:rsid w:val="006C6DDD"/>
    <w:rsid w:val="006E1A57"/>
    <w:rsid w:val="006F0870"/>
    <w:rsid w:val="006F3098"/>
    <w:rsid w:val="006F719D"/>
    <w:rsid w:val="00716A78"/>
    <w:rsid w:val="00720960"/>
    <w:rsid w:val="007265AA"/>
    <w:rsid w:val="007328E2"/>
    <w:rsid w:val="0077785E"/>
    <w:rsid w:val="00786333"/>
    <w:rsid w:val="0079262D"/>
    <w:rsid w:val="007947C3"/>
    <w:rsid w:val="007B05CF"/>
    <w:rsid w:val="007B07B9"/>
    <w:rsid w:val="007B39B7"/>
    <w:rsid w:val="007C3DA6"/>
    <w:rsid w:val="007C6C6B"/>
    <w:rsid w:val="007F3440"/>
    <w:rsid w:val="007F612B"/>
    <w:rsid w:val="00810F34"/>
    <w:rsid w:val="00853ECF"/>
    <w:rsid w:val="008A301E"/>
    <w:rsid w:val="008F6CD8"/>
    <w:rsid w:val="0090114D"/>
    <w:rsid w:val="00902C9A"/>
    <w:rsid w:val="00932EA9"/>
    <w:rsid w:val="00966977"/>
    <w:rsid w:val="00966BFA"/>
    <w:rsid w:val="00980950"/>
    <w:rsid w:val="00984462"/>
    <w:rsid w:val="009939E5"/>
    <w:rsid w:val="009B6C8D"/>
    <w:rsid w:val="009D1C08"/>
    <w:rsid w:val="009E0620"/>
    <w:rsid w:val="00A123ED"/>
    <w:rsid w:val="00A263BD"/>
    <w:rsid w:val="00A502D3"/>
    <w:rsid w:val="00A6160B"/>
    <w:rsid w:val="00AC1578"/>
    <w:rsid w:val="00AC1D60"/>
    <w:rsid w:val="00AE3BA4"/>
    <w:rsid w:val="00B0571B"/>
    <w:rsid w:val="00B149F8"/>
    <w:rsid w:val="00B17DE4"/>
    <w:rsid w:val="00B323E3"/>
    <w:rsid w:val="00B36F01"/>
    <w:rsid w:val="00B542F8"/>
    <w:rsid w:val="00B57D97"/>
    <w:rsid w:val="00B80446"/>
    <w:rsid w:val="00B83862"/>
    <w:rsid w:val="00BA2837"/>
    <w:rsid w:val="00BA4D05"/>
    <w:rsid w:val="00BE19BA"/>
    <w:rsid w:val="00C30A3D"/>
    <w:rsid w:val="00C37783"/>
    <w:rsid w:val="00C462F9"/>
    <w:rsid w:val="00C7761B"/>
    <w:rsid w:val="00C869F9"/>
    <w:rsid w:val="00C87A43"/>
    <w:rsid w:val="00CB2349"/>
    <w:rsid w:val="00CE59F8"/>
    <w:rsid w:val="00D52E30"/>
    <w:rsid w:val="00D612F8"/>
    <w:rsid w:val="00D82E95"/>
    <w:rsid w:val="00D9445E"/>
    <w:rsid w:val="00DA1CD6"/>
    <w:rsid w:val="00DB343B"/>
    <w:rsid w:val="00DB5172"/>
    <w:rsid w:val="00DD7672"/>
    <w:rsid w:val="00DF1657"/>
    <w:rsid w:val="00DF5F2D"/>
    <w:rsid w:val="00E106CA"/>
    <w:rsid w:val="00E25E5D"/>
    <w:rsid w:val="00E420AB"/>
    <w:rsid w:val="00E47B48"/>
    <w:rsid w:val="00E57FC8"/>
    <w:rsid w:val="00E7288C"/>
    <w:rsid w:val="00E80555"/>
    <w:rsid w:val="00E84871"/>
    <w:rsid w:val="00EA70F6"/>
    <w:rsid w:val="00EB7787"/>
    <w:rsid w:val="00EC2766"/>
    <w:rsid w:val="00F01101"/>
    <w:rsid w:val="00F119E0"/>
    <w:rsid w:val="00F15D09"/>
    <w:rsid w:val="00F174CD"/>
    <w:rsid w:val="00F3233A"/>
    <w:rsid w:val="00F32485"/>
    <w:rsid w:val="00F53574"/>
    <w:rsid w:val="00F5430F"/>
    <w:rsid w:val="00F80C24"/>
    <w:rsid w:val="00F931F6"/>
    <w:rsid w:val="00FA77A9"/>
    <w:rsid w:val="00FB15AE"/>
    <w:rsid w:val="00FD516B"/>
    <w:rsid w:val="00FF1BE0"/>
    <w:rsid w:val="0EAD3EFB"/>
    <w:rsid w:val="11614565"/>
    <w:rsid w:val="11E26AAE"/>
    <w:rsid w:val="28BB61E6"/>
    <w:rsid w:val="2BE2352D"/>
    <w:rsid w:val="3C9801C3"/>
    <w:rsid w:val="45B24076"/>
    <w:rsid w:val="479C6425"/>
    <w:rsid w:val="485B3370"/>
    <w:rsid w:val="49704356"/>
    <w:rsid w:val="49AD0404"/>
    <w:rsid w:val="5F852D79"/>
    <w:rsid w:val="62184EFE"/>
    <w:rsid w:val="641C1617"/>
    <w:rsid w:val="685078D4"/>
    <w:rsid w:val="6FF30580"/>
    <w:rsid w:val="708F42B8"/>
    <w:rsid w:val="724243AA"/>
    <w:rsid w:val="744E65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Calibri"/>
      <w:kern w:val="2"/>
      <w:sz w:val="28"/>
      <w:szCs w:val="28"/>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5"/>
    <w:qFormat/>
    <w:uiPriority w:val="99"/>
    <w:pPr>
      <w:keepNext/>
      <w:keepLines/>
      <w:spacing w:before="120" w:after="120"/>
      <w:jc w:val="center"/>
      <w:outlineLvl w:val="2"/>
    </w:pPr>
    <w:rPr>
      <w:rFonts w:eastAsia="黑体"/>
      <w:b/>
      <w:bCs/>
      <w:sz w:val="32"/>
      <w:szCs w:val="32"/>
    </w:rPr>
  </w:style>
  <w:style w:type="paragraph" w:styleId="5">
    <w:name w:val="heading 4"/>
    <w:basedOn w:val="1"/>
    <w:next w:val="1"/>
    <w:link w:val="26"/>
    <w:qFormat/>
    <w:uiPriority w:val="99"/>
    <w:pPr>
      <w:keepNext/>
      <w:keepLines/>
      <w:spacing w:before="120" w:after="120"/>
      <w:jc w:val="center"/>
      <w:outlineLvl w:val="3"/>
    </w:pPr>
    <w:rPr>
      <w:rFonts w:ascii="Cambria" w:hAnsi="Cambria" w:eastAsia="楷体" w:cs="Cambria"/>
      <w:b/>
      <w:bCs/>
      <w:sz w:val="32"/>
      <w:szCs w:val="32"/>
    </w:rPr>
  </w:style>
  <w:style w:type="paragraph" w:styleId="6">
    <w:name w:val="heading 5"/>
    <w:basedOn w:val="1"/>
    <w:next w:val="1"/>
    <w:link w:val="27"/>
    <w:qFormat/>
    <w:uiPriority w:val="99"/>
    <w:pPr>
      <w:keepNext/>
      <w:keepLines/>
      <w:spacing w:before="120" w:after="120"/>
      <w:outlineLvl w:val="4"/>
    </w:pPr>
    <w:rPr>
      <w:b/>
      <w:bCs/>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680"/>
    </w:pPr>
    <w:rPr>
      <w:sz w:val="18"/>
      <w:szCs w:val="18"/>
    </w:rPr>
  </w:style>
  <w:style w:type="paragraph" w:styleId="8">
    <w:name w:val="Document Map"/>
    <w:basedOn w:val="1"/>
    <w:link w:val="28"/>
    <w:semiHidden/>
    <w:qFormat/>
    <w:uiPriority w:val="99"/>
    <w:rPr>
      <w:rFonts w:ascii="宋体" w:cs="宋体"/>
      <w:sz w:val="18"/>
      <w:szCs w:val="18"/>
    </w:rPr>
  </w:style>
  <w:style w:type="paragraph" w:styleId="9">
    <w:name w:val="toc 5"/>
    <w:basedOn w:val="1"/>
    <w:next w:val="1"/>
    <w:semiHidden/>
    <w:qFormat/>
    <w:uiPriority w:val="99"/>
    <w:pPr>
      <w:ind w:left="1120"/>
    </w:pPr>
    <w:rPr>
      <w:sz w:val="18"/>
      <w:szCs w:val="18"/>
    </w:rPr>
  </w:style>
  <w:style w:type="paragraph" w:styleId="10">
    <w:name w:val="toc 3"/>
    <w:basedOn w:val="1"/>
    <w:next w:val="1"/>
    <w:semiHidden/>
    <w:qFormat/>
    <w:uiPriority w:val="99"/>
    <w:pPr>
      <w:ind w:left="560"/>
    </w:pPr>
    <w:rPr>
      <w:i/>
      <w:iCs/>
      <w:sz w:val="20"/>
      <w:szCs w:val="20"/>
    </w:rPr>
  </w:style>
  <w:style w:type="paragraph" w:styleId="11">
    <w:name w:val="toc 8"/>
    <w:basedOn w:val="1"/>
    <w:next w:val="1"/>
    <w:semiHidden/>
    <w:qFormat/>
    <w:uiPriority w:val="99"/>
    <w:pPr>
      <w:ind w:left="1960"/>
    </w:pPr>
    <w:rPr>
      <w:sz w:val="18"/>
      <w:szCs w:val="18"/>
    </w:rPr>
  </w:style>
  <w:style w:type="paragraph" w:styleId="12">
    <w:name w:val="Balloon Text"/>
    <w:basedOn w:val="1"/>
    <w:link w:val="29"/>
    <w:semiHidden/>
    <w:qFormat/>
    <w:uiPriority w:val="99"/>
    <w:pPr>
      <w:spacing w:line="240" w:lineRule="auto"/>
    </w:pPr>
    <w:rPr>
      <w:sz w:val="18"/>
      <w:szCs w:val="18"/>
    </w:rPr>
  </w:style>
  <w:style w:type="paragraph" w:styleId="13">
    <w:name w:val="footer"/>
    <w:basedOn w:val="1"/>
    <w:link w:val="30"/>
    <w:qFormat/>
    <w:uiPriority w:val="99"/>
    <w:pPr>
      <w:tabs>
        <w:tab w:val="center" w:pos="4153"/>
        <w:tab w:val="right" w:pos="8306"/>
      </w:tabs>
      <w:snapToGrid w:val="0"/>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semiHidden/>
    <w:qFormat/>
    <w:uiPriority w:val="99"/>
    <w:pPr>
      <w:spacing w:before="120" w:after="120"/>
    </w:pPr>
    <w:rPr>
      <w:b/>
      <w:bCs/>
      <w:caps/>
      <w:sz w:val="20"/>
      <w:szCs w:val="20"/>
    </w:rPr>
  </w:style>
  <w:style w:type="paragraph" w:styleId="16">
    <w:name w:val="toc 4"/>
    <w:basedOn w:val="1"/>
    <w:next w:val="1"/>
    <w:semiHidden/>
    <w:qFormat/>
    <w:uiPriority w:val="99"/>
    <w:pPr>
      <w:ind w:left="840"/>
    </w:pPr>
    <w:rPr>
      <w:sz w:val="18"/>
      <w:szCs w:val="18"/>
    </w:rPr>
  </w:style>
  <w:style w:type="paragraph" w:styleId="17">
    <w:name w:val="toc 6"/>
    <w:basedOn w:val="1"/>
    <w:next w:val="1"/>
    <w:semiHidden/>
    <w:qFormat/>
    <w:uiPriority w:val="99"/>
    <w:pPr>
      <w:ind w:left="1400"/>
    </w:pPr>
    <w:rPr>
      <w:sz w:val="18"/>
      <w:szCs w:val="18"/>
    </w:rPr>
  </w:style>
  <w:style w:type="paragraph" w:styleId="18">
    <w:name w:val="toc 2"/>
    <w:basedOn w:val="1"/>
    <w:next w:val="1"/>
    <w:semiHidden/>
    <w:qFormat/>
    <w:uiPriority w:val="99"/>
    <w:pPr>
      <w:ind w:left="280"/>
    </w:pPr>
    <w:rPr>
      <w:smallCaps/>
      <w:sz w:val="20"/>
      <w:szCs w:val="20"/>
    </w:rPr>
  </w:style>
  <w:style w:type="paragraph" w:styleId="19">
    <w:name w:val="toc 9"/>
    <w:basedOn w:val="1"/>
    <w:next w:val="1"/>
    <w:semiHidden/>
    <w:qFormat/>
    <w:uiPriority w:val="99"/>
    <w:pPr>
      <w:ind w:left="2240"/>
    </w:pPr>
    <w:rPr>
      <w:sz w:val="18"/>
      <w:szCs w:val="18"/>
    </w:rPr>
  </w:style>
  <w:style w:type="character" w:styleId="22">
    <w:name w:val="Hyperlink"/>
    <w:qFormat/>
    <w:uiPriority w:val="99"/>
    <w:rPr>
      <w:color w:val="0000FF"/>
      <w:u w:val="single"/>
    </w:rPr>
  </w:style>
  <w:style w:type="character" w:customStyle="1" w:styleId="23">
    <w:name w:val="标题 1 字符"/>
    <w:link w:val="2"/>
    <w:qFormat/>
    <w:locked/>
    <w:uiPriority w:val="99"/>
    <w:rPr>
      <w:rFonts w:eastAsia="Times New Roman"/>
      <w:b/>
      <w:bCs/>
      <w:kern w:val="44"/>
      <w:sz w:val="44"/>
      <w:szCs w:val="44"/>
    </w:rPr>
  </w:style>
  <w:style w:type="character" w:customStyle="1" w:styleId="24">
    <w:name w:val="标题 2 字符"/>
    <w:link w:val="3"/>
    <w:qFormat/>
    <w:locked/>
    <w:uiPriority w:val="99"/>
    <w:rPr>
      <w:rFonts w:ascii="Cambria" w:hAnsi="Cambria" w:eastAsia="宋体" w:cs="Cambria"/>
      <w:b/>
      <w:bCs/>
      <w:sz w:val="32"/>
      <w:szCs w:val="32"/>
    </w:rPr>
  </w:style>
  <w:style w:type="character" w:customStyle="1" w:styleId="25">
    <w:name w:val="标题 3 字符"/>
    <w:link w:val="4"/>
    <w:qFormat/>
    <w:locked/>
    <w:uiPriority w:val="99"/>
    <w:rPr>
      <w:rFonts w:eastAsia="黑体"/>
      <w:b/>
      <w:bCs/>
      <w:sz w:val="32"/>
      <w:szCs w:val="32"/>
    </w:rPr>
  </w:style>
  <w:style w:type="character" w:customStyle="1" w:styleId="26">
    <w:name w:val="标题 4 字符"/>
    <w:link w:val="5"/>
    <w:qFormat/>
    <w:locked/>
    <w:uiPriority w:val="99"/>
    <w:rPr>
      <w:rFonts w:ascii="Cambria" w:hAnsi="Cambria" w:eastAsia="楷体" w:cs="Cambria"/>
      <w:b/>
      <w:bCs/>
      <w:sz w:val="28"/>
      <w:szCs w:val="28"/>
    </w:rPr>
  </w:style>
  <w:style w:type="character" w:customStyle="1" w:styleId="27">
    <w:name w:val="标题 5 字符"/>
    <w:link w:val="6"/>
    <w:qFormat/>
    <w:locked/>
    <w:uiPriority w:val="99"/>
    <w:rPr>
      <w:rFonts w:eastAsia="Times New Roman"/>
      <w:b/>
      <w:bCs/>
      <w:sz w:val="28"/>
      <w:szCs w:val="28"/>
    </w:rPr>
  </w:style>
  <w:style w:type="character" w:customStyle="1" w:styleId="28">
    <w:name w:val="文档结构图 字符"/>
    <w:link w:val="8"/>
    <w:semiHidden/>
    <w:qFormat/>
    <w:locked/>
    <w:uiPriority w:val="99"/>
    <w:rPr>
      <w:rFonts w:ascii="宋体" w:eastAsia="宋体" w:cs="宋体"/>
      <w:sz w:val="18"/>
      <w:szCs w:val="18"/>
    </w:rPr>
  </w:style>
  <w:style w:type="character" w:customStyle="1" w:styleId="29">
    <w:name w:val="批注框文本 字符"/>
    <w:link w:val="12"/>
    <w:semiHidden/>
    <w:qFormat/>
    <w:locked/>
    <w:uiPriority w:val="99"/>
    <w:rPr>
      <w:rFonts w:eastAsia="Times New Roman"/>
      <w:sz w:val="18"/>
      <w:szCs w:val="18"/>
    </w:rPr>
  </w:style>
  <w:style w:type="character" w:customStyle="1" w:styleId="30">
    <w:name w:val="页脚 字符"/>
    <w:link w:val="13"/>
    <w:qFormat/>
    <w:locked/>
    <w:uiPriority w:val="99"/>
    <w:rPr>
      <w:sz w:val="18"/>
      <w:szCs w:val="18"/>
    </w:rPr>
  </w:style>
  <w:style w:type="character" w:customStyle="1" w:styleId="31">
    <w:name w:val="页眉 字符"/>
    <w:link w:val="14"/>
    <w:semiHidden/>
    <w:qFormat/>
    <w:locked/>
    <w:uiPriority w:val="99"/>
    <w:rPr>
      <w:rFonts w:eastAsia="Times New Roman"/>
      <w:sz w:val="18"/>
      <w:szCs w:val="18"/>
    </w:rPr>
  </w:style>
  <w:style w:type="paragraph" w:customStyle="1" w:styleId="32">
    <w:name w:val="列出段落1"/>
    <w:basedOn w:val="1"/>
    <w:qFormat/>
    <w:uiPriority w:val="99"/>
    <w:pPr>
      <w:jc w:val="both"/>
    </w:pPr>
    <w:rPr>
      <w:kern w:val="0"/>
    </w:rPr>
  </w:style>
  <w:style w:type="paragraph" w:customStyle="1" w:styleId="33">
    <w:name w:val="TOC 标题1"/>
    <w:basedOn w:val="2"/>
    <w:next w:val="1"/>
    <w:qFormat/>
    <w:uiPriority w:val="99"/>
    <w:pPr>
      <w:widowControl/>
      <w:spacing w:before="480" w:after="0" w:line="276" w:lineRule="auto"/>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13310</Words>
  <Characters>13687</Characters>
  <Lines>120</Lines>
  <Paragraphs>34</Paragraphs>
  <TotalTime>10</TotalTime>
  <ScaleCrop>false</ScaleCrop>
  <LinksUpToDate>false</LinksUpToDate>
  <CharactersWithSpaces>13933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2022-07-19T14:25:00Z</dcterms:created>
  <dc:creator>Microsoft</dc:creator>
  <cp:lastModifiedBy>Administrator</cp:lastModifiedBy>
  <cp:lastPrinted>2022-10-19T02:54:00Z</cp:lastPrinted>
  <dcterms:modified xsi:type="dcterms:W3CDTF">2023-06-06T07:29:26Z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83BB565E44214238A17AF400DC5E5AED_13</vt:lpwstr>
  </property>
</Properties>
</file>