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keepNext w:val="0"/>
        <w:keepLines w:val="0"/>
        <w:pageBreakBefore w:val="0"/>
        <w:widowControl w:val="0"/>
        <w:kinsoku/>
        <w:wordWrap/>
        <w:overflowPunct/>
        <w:topLinePunct w:val="0"/>
        <w:autoSpaceDE/>
        <w:autoSpaceDN/>
        <w:bidi w:val="0"/>
        <w:adjustRightInd w:val="0"/>
        <w:snapToGrid/>
        <w:spacing w:line="580" w:lineRule="exact"/>
        <w:jc w:val="center"/>
        <w:textAlignment w:val="auto"/>
      </w:pPr>
      <w:r>
        <w:rPr>
          <w:rFonts w:hint="eastAsia"/>
          <w:lang w:eastAsia="zh-CN"/>
        </w:rPr>
        <w:t>四平市TX-KD10-A14#地块、A15#地块详细规划</w:t>
      </w:r>
      <w:r>
        <w:t>（</w:t>
      </w:r>
      <w:r>
        <w:rPr>
          <w:rFonts w:hint="eastAsia"/>
          <w:lang w:val="en-US" w:eastAsia="zh-CN"/>
        </w:rPr>
        <w:t>草案公示</w:t>
      </w:r>
      <w:r>
        <w:t>）</w:t>
      </w:r>
    </w:p>
    <w:p>
      <w:pPr>
        <w:pStyle w:val="2"/>
        <w:keepNext w:val="0"/>
        <w:keepLines w:val="0"/>
        <w:pageBreakBefore w:val="0"/>
        <w:widowControl w:val="0"/>
        <w:numPr>
          <w:ilvl w:val="0"/>
          <w:numId w:val="1"/>
        </w:numPr>
        <w:kinsoku/>
        <w:wordWrap/>
        <w:overflowPunct/>
        <w:topLinePunct w:val="0"/>
        <w:autoSpaceDE/>
        <w:autoSpaceDN/>
        <w:bidi w:val="0"/>
        <w:adjustRightInd w:val="0"/>
        <w:snapToGrid/>
        <w:spacing w:line="240" w:lineRule="auto"/>
        <w:ind w:left="0" w:leftChars="0" w:firstLine="0" w:firstLineChars="0"/>
        <w:textAlignment w:val="auto"/>
        <w:rPr>
          <w:rFonts w:hint="eastAsia" w:ascii="黑体" w:hAnsi="黑体" w:eastAsia="黑体" w:cs="黑体"/>
          <w:b w:val="0"/>
        </w:rPr>
      </w:pPr>
      <w:r>
        <w:t>规划概述</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eastAsia="zh-CN"/>
        </w:rPr>
      </w:pPr>
      <w:r>
        <w:rPr>
          <w:rFonts w:hint="eastAsia"/>
          <w:lang w:eastAsia="zh-CN"/>
        </w:rPr>
        <w:t>为进一步优化四平市高等教育用地的空间利用效率，适配高等院校新型建筑的建设标准，完善校园功能配套，提升办学硬件条件，助力铁西区师大片区区域教育资源提质增效，同时合理控制用地建设，做好基础设施建设支撑，为城乡开发建设提供法定依据。</w:t>
      </w:r>
    </w:p>
    <w:p>
      <w:pPr>
        <w:spacing w:line="360" w:lineRule="auto"/>
        <w:ind w:firstLine="480" w:firstLineChars="200"/>
        <w:rPr>
          <w:rFonts w:hint="eastAsia"/>
          <w:lang w:eastAsia="zh-CN"/>
        </w:rPr>
      </w:pPr>
      <w:r>
        <w:rPr>
          <w:rFonts w:hint="eastAsia" w:ascii="Times New Roman" w:hAnsi="Times New Roman" w:eastAsia="宋体" w:cs="Times New Roman"/>
          <w:kern w:val="2"/>
          <w:sz w:val="24"/>
          <w:szCs w:val="24"/>
          <w:lang w:val="en-US" w:eastAsia="zh-CN" w:bidi="ar-SA"/>
        </w:rPr>
        <w:t>规划范围：地块位于四平市铁西区，师大北路南侧，师大西街东侧。TX-KD10-A14#地块规划总用地面积156314.9‬‬平方米；TX-KD10-A15#地块规划总用地面积：11526.9</w:t>
      </w:r>
      <w:bookmarkStart w:id="3" w:name="_GoBack"/>
      <w:bookmarkEnd w:id="3"/>
      <w:r>
        <w:rPr>
          <w:rFonts w:hint="eastAsia" w:ascii="Times New Roman" w:hAnsi="Times New Roman" w:eastAsia="宋体" w:cs="Times New Roman"/>
          <w:kern w:val="2"/>
          <w:sz w:val="24"/>
          <w:szCs w:val="24"/>
          <w:lang w:val="en-US" w:eastAsia="zh-CN" w:bidi="ar-SA"/>
        </w:rPr>
        <w:t>‬‬平方米。‬</w:t>
      </w:r>
      <w:r>
        <w:rPr>
          <w:rFonts w:hint="eastAsia" w:ascii="仿宋_GB2312" w:hAnsi="仿宋_GB2312" w:eastAsia="仿宋_GB2312" w:cs="Times New Roman"/>
          <w:sz w:val="32"/>
          <w:lang w:eastAsia="zh-CN"/>
        </w:rPr>
        <w:t>‬</w:t>
      </w:r>
      <w:r>
        <w:rPr>
          <w:rFonts w:hint="eastAsia"/>
          <w:lang w:eastAsia="zh-CN"/>
        </w:rPr>
        <w:t>‬</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eastAsia="宋体"/>
          <w:lang w:eastAsia="zh-CN"/>
        </w:rPr>
      </w:pPr>
      <w:r>
        <w:t>公示依据：《中华人民共和国城乡规划法》《吉林省国土空间规划条例》等相关法律法规及</w:t>
      </w:r>
      <w:r>
        <w:rPr>
          <w:rFonts w:hint="eastAsia"/>
          <w:lang w:eastAsia="zh-CN"/>
        </w:rPr>
        <w:t>技术规范</w:t>
      </w:r>
      <w:r>
        <w:t>。</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color w:val="auto"/>
          <w:lang w:val="en-US" w:eastAsia="zh-CN"/>
        </w:rPr>
      </w:pPr>
      <w:r>
        <w:rPr>
          <w:rFonts w:hint="eastAsia"/>
          <w:lang w:val="en-US" w:eastAsia="zh-CN"/>
        </w:rPr>
        <w:t>编制依据：</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en-US" w:eastAsia="zh-CN"/>
        </w:rPr>
      </w:pPr>
      <w:bookmarkStart w:id="0" w:name="OLE_LINK1"/>
      <w:bookmarkStart w:id="1" w:name="OLE_LINK2"/>
      <w:r>
        <w:rPr>
          <w:rFonts w:hint="eastAsia"/>
          <w:lang w:val="en-US" w:eastAsia="zh-CN"/>
        </w:rPr>
        <w:t>《中华人民共和国城乡规划法》（2019修正）；</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en-US" w:eastAsia="zh-CN"/>
        </w:rPr>
      </w:pPr>
      <w:r>
        <w:rPr>
          <w:rFonts w:hint="eastAsia"/>
          <w:lang w:val="en-US" w:eastAsia="zh-CN"/>
        </w:rPr>
        <w:t>《中华人民共和国土地管理法》（2019修正）；</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en-US" w:eastAsia="zh-CN"/>
        </w:rPr>
      </w:pPr>
      <w:r>
        <w:rPr>
          <w:rFonts w:hint="eastAsia"/>
          <w:lang w:val="en-US" w:eastAsia="zh-CN"/>
        </w:rPr>
        <w:t>《中华人民共和国生态环境法典》（2026）；</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en-US" w:eastAsia="zh-CN"/>
        </w:rPr>
      </w:pPr>
      <w:r>
        <w:rPr>
          <w:rFonts w:hint="eastAsia"/>
          <w:lang w:val="en-US" w:eastAsia="zh-CN"/>
        </w:rPr>
        <w:t>《中共中央国务院关于建立国土空间规划体系并监督实施的若干意见》（中发〔2019〕18号）；</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en-US" w:eastAsia="zh-CN"/>
        </w:rPr>
      </w:pPr>
      <w:r>
        <w:rPr>
          <w:rFonts w:hint="eastAsia"/>
          <w:lang w:val="en-US" w:eastAsia="zh-CN"/>
        </w:rPr>
        <w:t>《自然资源部关于进一步加强国土空间规划编制和实施管理的通知》（自然资发〔2022〕186号）；</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en-US" w:eastAsia="zh-CN"/>
        </w:rPr>
      </w:pPr>
      <w:r>
        <w:rPr>
          <w:rFonts w:hint="eastAsia"/>
          <w:lang w:val="en-US" w:eastAsia="zh-CN"/>
        </w:rPr>
        <w:t>《自然资源部关于加强国土空间详细规划工作的通知》（自然资发〔2023〕43号）；</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en-US" w:eastAsia="zh-CN"/>
        </w:rPr>
      </w:pPr>
      <w:r>
        <w:rPr>
          <w:rFonts w:hint="eastAsia"/>
          <w:lang w:val="en-US" w:eastAsia="zh-CN"/>
        </w:rPr>
        <w:t>《自然资源部国家林业和草原局关于进一步做好自然资源要素保障的通知》（自然资发〔2026〕38号）；</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en-US" w:eastAsia="zh-CN"/>
        </w:rPr>
      </w:pPr>
      <w:r>
        <w:rPr>
          <w:rFonts w:hint="eastAsia"/>
          <w:lang w:val="en-US" w:eastAsia="zh-CN"/>
        </w:rPr>
        <w:t>《国土空间调查、规划、用途管制用地用海分类指南》（自然资发〔2023〕234号）；</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en-US" w:eastAsia="zh-CN"/>
        </w:rPr>
      </w:pPr>
      <w:r>
        <w:rPr>
          <w:rFonts w:hint="eastAsia"/>
          <w:lang w:val="en-US" w:eastAsia="zh-CN"/>
        </w:rPr>
        <w:t>《吉林省城乡规划条例》（2011）；</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en-US" w:eastAsia="zh-CN"/>
        </w:rPr>
      </w:pPr>
      <w:r>
        <w:rPr>
          <w:rFonts w:hint="eastAsia"/>
          <w:lang w:val="en-US" w:eastAsia="zh-CN"/>
        </w:rPr>
        <w:t>《吉林省城镇开发边界内详细规划导则》（试行）（2024）；</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en-US" w:eastAsia="zh-CN"/>
        </w:rPr>
      </w:pPr>
      <w:r>
        <w:rPr>
          <w:rFonts w:hint="eastAsia"/>
          <w:lang w:val="en-US" w:eastAsia="zh-CN"/>
        </w:rPr>
        <w:t>《四平市国土空间总体规划</w:t>
      </w:r>
      <w:bookmarkStart w:id="2" w:name="_Toc498427575"/>
      <w:r>
        <w:rPr>
          <w:rFonts w:hint="eastAsia"/>
          <w:lang w:val="en-US" w:eastAsia="zh-CN"/>
        </w:rPr>
        <w:t>（2021-2035年）</w:t>
      </w:r>
      <w:bookmarkEnd w:id="2"/>
      <w:r>
        <w:rPr>
          <w:rFonts w:hint="eastAsia"/>
          <w:lang w:val="en-US" w:eastAsia="zh-CN"/>
        </w:rPr>
        <w:t>》；</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en-US" w:eastAsia="zh-CN"/>
        </w:rPr>
      </w:pPr>
      <w:r>
        <w:rPr>
          <w:rFonts w:hint="eastAsia"/>
          <w:lang w:val="en-US" w:eastAsia="zh-CN"/>
        </w:rPr>
        <w:t>《四平市生态环境分区管控实施方案》（四政办发〔2024〕9号）；</w:t>
      </w:r>
    </w:p>
    <w:bookmarkEnd w:id="0"/>
    <w:bookmarkEnd w:id="1"/>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zh-CN" w:eastAsia="zh-CN"/>
        </w:rPr>
      </w:pPr>
      <w:r>
        <w:rPr>
          <w:rFonts w:hint="eastAsia"/>
          <w:lang w:val="zh-CN" w:eastAsia="zh-CN"/>
        </w:rPr>
        <w:t>《四平市TX-KD10-A14#地块、15#地块控制性详细规划》（</w:t>
      </w:r>
      <w:r>
        <w:rPr>
          <w:rFonts w:hint="eastAsia"/>
          <w:lang w:val="en-US" w:eastAsia="zh-CN"/>
        </w:rPr>
        <w:t>2023</w:t>
      </w:r>
      <w:r>
        <w:rPr>
          <w:rFonts w:hint="eastAsia"/>
          <w:lang w:val="zh-CN" w:eastAsia="zh-CN"/>
        </w:rPr>
        <w:t>）；</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en-US" w:eastAsia="zh-CN"/>
        </w:rPr>
      </w:pPr>
      <w:r>
        <w:rPr>
          <w:rFonts w:hint="eastAsia"/>
          <w:lang w:val="en-US" w:eastAsia="zh-CN"/>
        </w:rPr>
        <w:t>四平市建筑退线要求、停车配建要求等地方规定；</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en-US" w:eastAsia="zh-CN"/>
        </w:rPr>
      </w:pPr>
      <w:r>
        <w:rPr>
          <w:rFonts w:hint="eastAsia"/>
          <w:lang w:val="en-US" w:eastAsia="zh-CN"/>
        </w:rPr>
        <w:t>其他相关法律法规、政策文件、技术标准及现场采集的资料。</w:t>
      </w:r>
    </w:p>
    <w:p>
      <w:pPr>
        <w:pStyle w:val="2"/>
        <w:keepNext w:val="0"/>
        <w:keepLines w:val="0"/>
        <w:pageBreakBefore w:val="0"/>
        <w:widowControl w:val="0"/>
        <w:numPr>
          <w:ilvl w:val="0"/>
          <w:numId w:val="1"/>
        </w:numPr>
        <w:kinsoku/>
        <w:wordWrap/>
        <w:overflowPunct/>
        <w:topLinePunct w:val="0"/>
        <w:autoSpaceDE/>
        <w:autoSpaceDN/>
        <w:bidi w:val="0"/>
        <w:adjustRightInd w:val="0"/>
        <w:snapToGrid/>
        <w:spacing w:line="500" w:lineRule="exact"/>
        <w:ind w:left="0" w:leftChars="0" w:firstLine="0" w:firstLineChars="0"/>
        <w:textAlignment w:val="auto"/>
        <w:rPr>
          <w:rFonts w:hint="eastAsia" w:ascii="黑体" w:hAnsi="黑体" w:eastAsia="黑体" w:cs="黑体"/>
          <w:b w:val="0"/>
        </w:rPr>
      </w:pPr>
      <w:r>
        <w:t>核心规划内容</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en-US" w:eastAsia="zh-CN"/>
        </w:rPr>
      </w:pPr>
      <w:r>
        <w:rPr>
          <w:rFonts w:hint="eastAsia"/>
          <w:lang w:val="en-US" w:eastAsia="zh-CN"/>
        </w:rPr>
        <w:t>1、目标定位</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en-US" w:eastAsia="zh-CN"/>
        </w:rPr>
      </w:pPr>
      <w:r>
        <w:rPr>
          <w:rFonts w:hint="eastAsia"/>
          <w:lang w:val="en-US" w:eastAsia="zh-CN"/>
        </w:rPr>
        <w:t>本次规划旨在科学管控地块开发建设秩序，严守国土空间管控底线，构建集约高效、风貌协调、绿色宜居的现代化高等教育发展空间。同步配套建设社会停车场，补齐片区停车配套短板。规划立足高等教育长远办学需求，预留充足规划弹性空间，实现校园建设与片区城市发展有机融合，有力支撑区域高等教育高质量发展与城市配套服务提质。</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en-US" w:eastAsia="zh-CN"/>
        </w:rPr>
      </w:pPr>
      <w:r>
        <w:rPr>
          <w:rFonts w:hint="eastAsia"/>
          <w:lang w:val="en-US" w:eastAsia="zh-CN"/>
        </w:rPr>
        <w:t>2、景观风貌</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zh-CN" w:eastAsia="zh-CN"/>
        </w:rPr>
      </w:pPr>
      <w:r>
        <w:rPr>
          <w:rFonts w:hint="eastAsia"/>
          <w:lang w:val="en-US" w:eastAsia="zh-CN"/>
        </w:rPr>
        <w:t>景观体系：地块周边以教育科研用地、城镇住宅用地为主要用地功能，结合地块高等院校用地的功能定位，规划应构建与周边环境相融、生态稳固、四季有序的校园景观体系，同时平衡校园育人休憩功能与居住区宜居生态需求，营造静谧舒适、和谐共生的高教生态景观氛围。</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en-US" w:eastAsia="zh-CN"/>
        </w:rPr>
      </w:pPr>
      <w:r>
        <w:rPr>
          <w:rFonts w:hint="eastAsia"/>
          <w:lang w:val="en-US" w:eastAsia="zh-CN"/>
        </w:rPr>
        <w:t>风貌管控：</w:t>
      </w:r>
      <w:r>
        <w:rPr>
          <w:rFonts w:hint="eastAsia"/>
          <w:lang w:val="zh-CN" w:eastAsia="zh-CN"/>
        </w:rPr>
        <w:t>结合片区整体环境，规划和建筑设计阶段应统筹建筑风格、材质与场地界面管控，引导形成简约庄重、雅致协调的现代化高教建筑风貌。建筑造型应规整克制体量适度，杜绝突兀繁杂设计，外立面采用素雅沉稳的色调，与周边校园、居住建筑风格有机衔接。同时，建筑色彩应体现寒地城市的特点。</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en-US" w:eastAsia="zh-CN"/>
        </w:rPr>
      </w:pPr>
      <w:r>
        <w:rPr>
          <w:rFonts w:hint="eastAsia"/>
          <w:lang w:val="en-US" w:eastAsia="zh-CN"/>
        </w:rPr>
        <w:t>3、道路交通规划</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en-US" w:eastAsia="zh-CN"/>
        </w:rPr>
      </w:pPr>
      <w:r>
        <w:rPr>
          <w:rFonts w:hint="eastAsia"/>
          <w:lang w:val="en-US" w:eastAsia="zh-CN"/>
        </w:rPr>
        <w:t>出入口：高等教育用地：西侧师大西街、北侧师大北路；</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en-US" w:eastAsia="zh-CN"/>
        </w:rPr>
      </w:pPr>
      <w:r>
        <w:rPr>
          <w:rFonts w:hint="eastAsia"/>
          <w:lang w:val="en-US" w:eastAsia="zh-CN"/>
        </w:rPr>
        <w:t>社会停车场用地：西侧师大西街。</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en-US" w:eastAsia="zh-CN"/>
        </w:rPr>
      </w:pPr>
      <w:r>
        <w:rPr>
          <w:rFonts w:hint="eastAsia"/>
          <w:lang w:val="en-US" w:eastAsia="zh-CN"/>
        </w:rPr>
        <w:t>4、市政基础设施</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en-US" w:eastAsia="zh-CN"/>
        </w:rPr>
      </w:pPr>
      <w:r>
        <w:rPr>
          <w:rFonts w:hint="eastAsia"/>
          <w:lang w:val="en-US" w:eastAsia="zh-CN"/>
        </w:rPr>
        <w:t>给水由师大西街现状地下综合管廊内给水管线引入。污水排入师大西街现状污水管线。雨水由排入师大西街现状雨水管线。电力由师大西街现状地下综合管廊内电力线引入。通讯由师大西街现状地下综合管廊内通讯光缆引入。供热由师大西街现状地下综合管廊内供热管线引入。燃气由师大西街现状燃气管线引入。</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en-US" w:eastAsia="zh-CN"/>
        </w:rPr>
      </w:pPr>
      <w:r>
        <w:rPr>
          <w:rFonts w:hint="eastAsia"/>
          <w:lang w:val="en-US" w:eastAsia="zh-CN"/>
        </w:rPr>
        <w:t>地块生活垃圾分类设施配建要求：按四平市生活垃圾分类工作领导小组办公室印发的《2023年四平市生活垃圾分类提升工作方案》通知执行。</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en-US" w:eastAsia="zh-CN"/>
        </w:rPr>
      </w:pPr>
      <w:r>
        <w:rPr>
          <w:rFonts w:hint="eastAsia"/>
          <w:lang w:val="en-US" w:eastAsia="zh-CN"/>
        </w:rPr>
        <w:t>海绵城市：鼓励应用透水铺装、下沉式绿地等低影响开发设施。</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en-US" w:eastAsia="zh-CN"/>
        </w:rPr>
      </w:pPr>
      <w:r>
        <w:rPr>
          <w:rFonts w:hint="eastAsia"/>
          <w:lang w:val="en-US" w:eastAsia="zh-CN"/>
        </w:rPr>
        <w:t>5、安全与防灾</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en-US" w:eastAsia="zh-CN"/>
        </w:rPr>
      </w:pPr>
      <w:r>
        <w:rPr>
          <w:rFonts w:hint="eastAsia"/>
          <w:lang w:val="en-US" w:eastAsia="zh-CN"/>
        </w:rPr>
        <w:t>消防：建筑及总平面设计应严格遵循《建筑设计防火规范》，保障消防通道畅通无阻。</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en-US" w:eastAsia="zh-CN"/>
        </w:rPr>
      </w:pPr>
      <w:r>
        <w:rPr>
          <w:rFonts w:hint="eastAsia"/>
          <w:lang w:val="en-US" w:eastAsia="zh-CN"/>
        </w:rPr>
        <w:t>6、规划控制线</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en-US" w:eastAsia="zh-CN"/>
        </w:rPr>
      </w:pPr>
      <w:r>
        <w:rPr>
          <w:rFonts w:hint="eastAsia"/>
          <w:lang w:val="en-US" w:eastAsia="zh-CN"/>
        </w:rPr>
        <w:t>四线控制：本规划不涉及城市绿线、蓝线、黄线及紫线控制。</w:t>
      </w:r>
    </w:p>
    <w:p>
      <w:pPr>
        <w:pStyle w:val="13"/>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lang w:val="en-US" w:eastAsia="zh-CN"/>
        </w:rPr>
      </w:pPr>
      <w:r>
        <w:rPr>
          <w:rFonts w:hint="eastAsia"/>
          <w:lang w:val="en-US" w:eastAsia="zh-CN"/>
        </w:rPr>
        <w:t>本规划经批准后，即作为国土空间用途管制及核发建设用地规划许可证、建设工程规划许可证的法定依据。任何单位和个人不得擅自变更；确需修改的，须按法定程序报批。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E6863B"/>
    <w:multiLevelType w:val="singleLevel"/>
    <w:tmpl w:val="6CE6863B"/>
    <w:lvl w:ilvl="0" w:tentative="0">
      <w:start w:val="1"/>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5OGRiMTk5ZGY2ZTIyMDY3NTI3YTQ1MTdhZWUyOGMifQ=="/>
  </w:docVars>
  <w:rsids>
    <w:rsidRoot w:val="00172A27"/>
    <w:rsid w:val="01C111F0"/>
    <w:rsid w:val="02412122"/>
    <w:rsid w:val="02CE04CF"/>
    <w:rsid w:val="03F86B1C"/>
    <w:rsid w:val="04506E81"/>
    <w:rsid w:val="0B261470"/>
    <w:rsid w:val="0BB66575"/>
    <w:rsid w:val="0CC37827"/>
    <w:rsid w:val="0CEF2A86"/>
    <w:rsid w:val="0D1B4B6C"/>
    <w:rsid w:val="101F18D4"/>
    <w:rsid w:val="143556B4"/>
    <w:rsid w:val="1C855369"/>
    <w:rsid w:val="1CFF6E15"/>
    <w:rsid w:val="20A50C14"/>
    <w:rsid w:val="214A4127"/>
    <w:rsid w:val="22821F7B"/>
    <w:rsid w:val="2B984192"/>
    <w:rsid w:val="2FB1536E"/>
    <w:rsid w:val="32CA25D0"/>
    <w:rsid w:val="34CE7ACB"/>
    <w:rsid w:val="3A74554C"/>
    <w:rsid w:val="3ABD79CF"/>
    <w:rsid w:val="3DE97373"/>
    <w:rsid w:val="40447D11"/>
    <w:rsid w:val="413053CF"/>
    <w:rsid w:val="41566655"/>
    <w:rsid w:val="47442E6F"/>
    <w:rsid w:val="47887E1C"/>
    <w:rsid w:val="48033E71"/>
    <w:rsid w:val="49CC16C9"/>
    <w:rsid w:val="4AE313A2"/>
    <w:rsid w:val="4B01400A"/>
    <w:rsid w:val="4F1636A8"/>
    <w:rsid w:val="516179DF"/>
    <w:rsid w:val="517D31EE"/>
    <w:rsid w:val="547D1CF3"/>
    <w:rsid w:val="59441031"/>
    <w:rsid w:val="5DF9063C"/>
    <w:rsid w:val="5EF6493A"/>
    <w:rsid w:val="5FDC1FC3"/>
    <w:rsid w:val="607246D5"/>
    <w:rsid w:val="6106379C"/>
    <w:rsid w:val="6194021F"/>
    <w:rsid w:val="67747900"/>
    <w:rsid w:val="6AC1612B"/>
    <w:rsid w:val="6C9F6852"/>
    <w:rsid w:val="731D2FF9"/>
    <w:rsid w:val="76460328"/>
    <w:rsid w:val="77C43611"/>
    <w:rsid w:val="7B3C5B61"/>
    <w:rsid w:val="7C6B6E2E"/>
    <w:rsid w:val="7CE57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bidi="ar-SA"/>
    </w:rPr>
  </w:style>
  <w:style w:type="paragraph" w:styleId="3">
    <w:name w:val="heading 2"/>
    <w:next w:val="1"/>
    <w:unhideWhenUsed/>
    <w:qFormat/>
    <w:uiPriority w:val="0"/>
    <w:pPr>
      <w:widowControl w:val="0"/>
      <w:adjustRightInd w:val="0"/>
      <w:spacing w:before="280" w:line="300" w:lineRule="auto"/>
      <w:jc w:val="both"/>
      <w:outlineLvl w:val="1"/>
    </w:pPr>
    <w:rPr>
      <w:rFonts w:ascii="Times New Roman" w:hAnsi="Times New Roman" w:eastAsia="黑体" w:cs="Times New Roman"/>
      <w:kern w:val="2"/>
      <w:sz w:val="30"/>
      <w:szCs w:val="32"/>
      <w:lang w:bidi="ar-SA"/>
    </w:rPr>
  </w:style>
  <w:style w:type="paragraph" w:styleId="4">
    <w:name w:val="heading 3"/>
    <w:next w:val="1"/>
    <w:semiHidden/>
    <w:unhideWhenUsed/>
    <w:qFormat/>
    <w:uiPriority w:val="0"/>
    <w:pPr>
      <w:keepNext/>
      <w:keepLines/>
      <w:widowControl w:val="0"/>
      <w:adjustRightInd w:val="0"/>
      <w:spacing w:before="240" w:line="300" w:lineRule="auto"/>
      <w:jc w:val="both"/>
      <w:outlineLvl w:val="2"/>
    </w:pPr>
    <w:rPr>
      <w:rFonts w:ascii="Times New Roman" w:hAnsi="Times New Roman" w:eastAsia="黑体" w:cs="Times New Roman"/>
      <w:kern w:val="2"/>
      <w:sz w:val="30"/>
      <w:szCs w:val="24"/>
      <w:lang w:bidi="ar-SA"/>
    </w:rPr>
  </w:style>
  <w:style w:type="paragraph" w:styleId="5">
    <w:name w:val="heading 4"/>
    <w:next w:val="1"/>
    <w:semiHidden/>
    <w:unhideWhenUsed/>
    <w:qFormat/>
    <w:uiPriority w:val="0"/>
    <w:pPr>
      <w:keepNext/>
      <w:keepLines/>
      <w:widowControl w:val="0"/>
      <w:adjustRightInd w:val="0"/>
      <w:spacing w:before="200" w:line="300" w:lineRule="auto"/>
      <w:jc w:val="both"/>
      <w:outlineLvl w:val="3"/>
    </w:pPr>
    <w:rPr>
      <w:rFonts w:ascii="Times New Roman" w:hAnsi="Times New Roman" w:eastAsia="黑体" w:cs="Times New Roman"/>
      <w:bCs/>
      <w:kern w:val="2"/>
      <w:sz w:val="28"/>
      <w:szCs w:val="28"/>
      <w:lang w:bidi="ar-SA"/>
    </w:rPr>
  </w:style>
  <w:style w:type="paragraph" w:styleId="6">
    <w:name w:val="heading 5"/>
    <w:next w:val="1"/>
    <w:semiHidden/>
    <w:unhideWhenUsed/>
    <w:qFormat/>
    <w:uiPriority w:val="0"/>
    <w:pPr>
      <w:keepNext/>
      <w:keepLines/>
      <w:widowControl w:val="0"/>
      <w:adjustRightInd w:val="0"/>
      <w:spacing w:before="160" w:line="300" w:lineRule="auto"/>
      <w:jc w:val="both"/>
      <w:outlineLvl w:val="4"/>
    </w:pPr>
    <w:rPr>
      <w:rFonts w:ascii="Times New Roman" w:hAnsi="Times New Roman" w:eastAsia="黑体" w:cs="Times New Roman"/>
      <w:bCs/>
      <w:kern w:val="2"/>
      <w:sz w:val="28"/>
      <w:szCs w:val="28"/>
      <w:lang w:bidi="ar-SA"/>
    </w:rPr>
  </w:style>
  <w:style w:type="paragraph" w:styleId="7">
    <w:name w:val="heading 6"/>
    <w:next w:val="1"/>
    <w:semiHidden/>
    <w:unhideWhenUsed/>
    <w:qFormat/>
    <w:uiPriority w:val="0"/>
    <w:pPr>
      <w:keepNext/>
      <w:keepLines/>
      <w:widowControl w:val="0"/>
      <w:adjustRightInd w:val="0"/>
      <w:spacing w:before="120" w:line="300" w:lineRule="auto"/>
      <w:jc w:val="both"/>
      <w:outlineLvl w:val="5"/>
    </w:pPr>
    <w:rPr>
      <w:rFonts w:ascii="Times New Roman" w:hAnsi="Times New Roman" w:eastAsia="黑体" w:cs="Times New Roman"/>
      <w:bCs/>
      <w:kern w:val="2"/>
      <w:sz w:val="28"/>
      <w:szCs w:val="24"/>
      <w:lang w:bidi="ar-SA"/>
    </w:rPr>
  </w:style>
  <w:style w:type="paragraph" w:styleId="8">
    <w:name w:val="heading 7"/>
    <w:next w:val="1"/>
    <w:semiHidden/>
    <w:unhideWhenUsed/>
    <w:qFormat/>
    <w:uiPriority w:val="0"/>
    <w:pPr>
      <w:keepNext/>
      <w:keepLines/>
      <w:widowControl w:val="0"/>
      <w:adjustRightInd w:val="0"/>
      <w:spacing w:before="120" w:line="300" w:lineRule="auto"/>
      <w:jc w:val="both"/>
      <w:outlineLvl w:val="6"/>
    </w:pPr>
    <w:rPr>
      <w:rFonts w:ascii="Times New Roman" w:hAnsi="Times New Roman" w:eastAsia="黑体" w:cs="Times New Roman"/>
      <w:bCs/>
      <w:kern w:val="2"/>
      <w:sz w:val="24"/>
      <w:szCs w:val="24"/>
      <w:lang w:bidi="ar-SA"/>
    </w:rPr>
  </w:style>
  <w:style w:type="paragraph" w:styleId="9">
    <w:name w:val="heading 8"/>
    <w:next w:val="1"/>
    <w:semiHidden/>
    <w:unhideWhenUsed/>
    <w:qFormat/>
    <w:uiPriority w:val="0"/>
    <w:pPr>
      <w:keepNext/>
      <w:keepLines/>
      <w:widowControl w:val="0"/>
      <w:adjustRightInd w:val="0"/>
      <w:spacing w:before="120" w:line="300" w:lineRule="auto"/>
      <w:jc w:val="both"/>
      <w:outlineLvl w:val="7"/>
    </w:pPr>
    <w:rPr>
      <w:rFonts w:ascii="Times New Roman" w:hAnsi="Times New Roman" w:eastAsia="黑体" w:cs="Times New Roman"/>
      <w:kern w:val="2"/>
      <w:sz w:val="24"/>
      <w:szCs w:val="24"/>
      <w:lang w:bidi="ar-SA"/>
    </w:rPr>
  </w:style>
  <w:style w:type="paragraph" w:styleId="10">
    <w:name w:val="heading 9"/>
    <w:next w:val="1"/>
    <w:semiHidden/>
    <w:unhideWhenUsed/>
    <w:qFormat/>
    <w:uiPriority w:val="0"/>
    <w:pPr>
      <w:keepNext/>
      <w:keepLines/>
      <w:widowControl w:val="0"/>
      <w:adjustRightInd w:val="0"/>
      <w:spacing w:before="120" w:line="300" w:lineRule="auto"/>
      <w:jc w:val="both"/>
      <w:outlineLvl w:val="8"/>
    </w:pPr>
    <w:rPr>
      <w:rFonts w:ascii="Times New Roman" w:hAnsi="Times New Roman" w:eastAsia="黑体" w:cs="Times New Roman"/>
      <w:kern w:val="2"/>
      <w:sz w:val="21"/>
      <w:szCs w:val="21"/>
      <w:lang w:bidi="ar-SA"/>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11">
    <w:name w:val="Normal Indent"/>
    <w:basedOn w:val="1"/>
    <w:next w:val="12"/>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1"/>
      <w:lang w:val="en-US" w:eastAsia="zh-CN" w:bidi="ar"/>
    </w:rPr>
  </w:style>
  <w:style w:type="paragraph" w:styleId="12">
    <w:name w:val="toc 4"/>
    <w:basedOn w:val="1"/>
    <w:next w:val="1"/>
    <w:qFormat/>
    <w:uiPriority w:val="0"/>
    <w:pPr>
      <w:ind w:left="1260" w:leftChars="600"/>
    </w:pPr>
  </w:style>
  <w:style w:type="paragraph" w:styleId="13">
    <w:name w:val="Body Text"/>
    <w:basedOn w:val="1"/>
    <w:next w:val="1"/>
    <w:qFormat/>
    <w:uiPriority w:val="0"/>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14">
    <w:name w:val="Subtitle"/>
    <w:qFormat/>
    <w:uiPriority w:val="0"/>
    <w:pPr>
      <w:widowControl w:val="0"/>
      <w:adjustRightInd w:val="0"/>
      <w:spacing w:before="100" w:after="100" w:line="240" w:lineRule="auto"/>
      <w:jc w:val="center"/>
      <w:outlineLvl w:val="9"/>
    </w:pPr>
    <w:rPr>
      <w:rFonts w:ascii="Times New Roman" w:hAnsi="Times New Roman" w:eastAsia="黑体" w:cs="Times New Roman"/>
      <w:kern w:val="28"/>
      <w:sz w:val="32"/>
      <w:szCs w:val="24"/>
      <w:lang w:bidi="ar-SA"/>
    </w:rPr>
  </w:style>
  <w:style w:type="paragraph" w:styleId="15">
    <w:name w:val="Normal (Web)"/>
    <w:basedOn w:val="1"/>
    <w:qFormat/>
    <w:uiPriority w:val="0"/>
    <w:rPr>
      <w:sz w:val="24"/>
    </w:rPr>
  </w:style>
  <w:style w:type="paragraph" w:styleId="16">
    <w:name w:val="Title"/>
    <w:qFormat/>
    <w:uiPriority w:val="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 w:type="character" w:styleId="19">
    <w:name w:val="Strong"/>
    <w:basedOn w:val="18"/>
    <w:qFormat/>
    <w:uiPriority w:val="0"/>
    <w:rPr>
      <w:b/>
    </w:rPr>
  </w:style>
  <w:style w:type="character" w:styleId="20">
    <w:name w:val="Emphasis"/>
    <w:basedOn w:val="18"/>
    <w:qFormat/>
    <w:uiPriority w:val="0"/>
    <w:rPr>
      <w:i/>
    </w:rPr>
  </w:style>
  <w:style w:type="character" w:styleId="21">
    <w:name w:val="Hyperlink"/>
    <w:basedOn w:val="18"/>
    <w:qFormat/>
    <w:uiPriority w:val="0"/>
    <w:rPr>
      <w:color w:val="0000FF"/>
      <w:u w:val="single"/>
    </w:rPr>
  </w:style>
  <w:style w:type="paragraph" w:customStyle="1" w:styleId="22">
    <w:name w:val="题注1"/>
    <w:next w:val="1"/>
    <w:qFormat/>
    <w:uiPriority w:val="0"/>
    <w:pPr>
      <w:widowControl w:val="0"/>
      <w:adjustRightInd w:val="0"/>
      <w:spacing w:before="240" w:after="120" w:line="288" w:lineRule="auto"/>
      <w:jc w:val="center"/>
    </w:pPr>
    <w:rPr>
      <w:rFonts w:ascii="Times New Roman" w:hAnsi="Times New Roman" w:eastAsia="宋体" w:cs="宋体"/>
      <w:kern w:val="2"/>
      <w:sz w:val="24"/>
      <w:szCs w:val="22"/>
      <w:lang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1458</Words>
  <Characters>1600</Characters>
  <Lines>0</Lines>
  <Paragraphs>0</Paragraphs>
  <TotalTime>29</TotalTime>
  <ScaleCrop>false</ScaleCrop>
  <LinksUpToDate>false</LinksUpToDate>
  <CharactersWithSpaces>1609</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2025-12-17T02:25:00Z</dcterms:created>
  <dc:creator>乐游</dc:creator>
  <cp:lastModifiedBy>Administrator</cp:lastModifiedBy>
  <cp:lastPrinted>2026-08-18T07:41:00Z</cp:lastPrinted>
  <dcterms:modified xsi:type="dcterms:W3CDTF">2026-09-04T08:20:15Z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y fmtid="{D5CDD505-2E9C-101B-9397-08002B2CF9AE}" pid="3" name="ICV">
    <vt:lpwstr>94E4C2BF10FC454D8D581E4629989B34</vt:lpwstr>
  </property>
  <property fmtid="{D5CDD505-2E9C-101B-9397-08002B2CF9AE}" pid="4" name="KSOTemplateDocerSaveRecord">
    <vt:lpwstr>eyJoZGlkIjoiNmVmMzRlNGFhMzg3NWY5ZDk1MDcxMDYxN2I5NTQ3NmYifQ==</vt:lpwstr>
  </property>
</Properties>
</file>