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8"/>
        <w:keepNext w:val="0"/>
        <w:keepLines w:val="0"/>
        <w:pageBreakBefore w:val="0"/>
        <w:widowControl w:val="0"/>
        <w:kinsoku/>
        <w:wordWrap/>
        <w:overflowPunct/>
        <w:topLinePunct w:val="0"/>
        <w:autoSpaceDE/>
        <w:autoSpaceDN/>
        <w:bidi w:val="0"/>
        <w:adjustRightInd w:val="0"/>
        <w:snapToGrid/>
        <w:spacing w:line="580" w:lineRule="exact"/>
        <w:jc w:val="center"/>
        <w:textAlignment w:val="auto"/>
        <w:rPr>
          <w:rFonts w:hint="eastAsia"/>
          <w:lang w:eastAsia="zh-CN"/>
        </w:rPr>
      </w:pPr>
      <w:r>
        <w:rPr>
          <w:rFonts w:hint="eastAsia"/>
          <w:lang w:eastAsia="zh-CN"/>
        </w:rPr>
        <w:t>四平市铁西区SP-TX-PX-JF-2025-02#地块详细规划</w:t>
      </w:r>
    </w:p>
    <w:p>
      <w:pPr>
        <w:pStyle w:val="18"/>
        <w:keepNext w:val="0"/>
        <w:keepLines w:val="0"/>
        <w:pageBreakBefore w:val="0"/>
        <w:widowControl w:val="0"/>
        <w:kinsoku/>
        <w:wordWrap/>
        <w:overflowPunct/>
        <w:topLinePunct w:val="0"/>
        <w:autoSpaceDE/>
        <w:autoSpaceDN/>
        <w:bidi w:val="0"/>
        <w:adjustRightInd w:val="0"/>
        <w:snapToGrid/>
        <w:spacing w:line="580" w:lineRule="exact"/>
        <w:jc w:val="center"/>
        <w:textAlignment w:val="auto"/>
      </w:pPr>
      <w:r>
        <w:t>（</w:t>
      </w:r>
      <w:r>
        <w:rPr>
          <w:rFonts w:hint="eastAsia"/>
          <w:lang w:val="en-US" w:eastAsia="zh-CN"/>
        </w:rPr>
        <w:t>草案公示</w:t>
      </w:r>
      <w:r>
        <w:t>）</w:t>
      </w:r>
    </w:p>
    <w:p>
      <w:pPr>
        <w:pStyle w:val="2"/>
        <w:keepNext w:val="0"/>
        <w:keepLines w:val="0"/>
        <w:pageBreakBefore w:val="0"/>
        <w:widowControl w:val="0"/>
        <w:numPr>
          <w:ilvl w:val="0"/>
          <w:numId w:val="1"/>
        </w:numPr>
        <w:kinsoku/>
        <w:wordWrap/>
        <w:overflowPunct/>
        <w:topLinePunct w:val="0"/>
        <w:autoSpaceDE/>
        <w:autoSpaceDN/>
        <w:bidi w:val="0"/>
        <w:adjustRightInd w:val="0"/>
        <w:snapToGrid/>
        <w:spacing w:line="240" w:lineRule="auto"/>
        <w:ind w:left="0" w:leftChars="0" w:firstLine="0" w:firstLineChars="0"/>
        <w:textAlignment w:val="auto"/>
        <w:rPr>
          <w:rFonts w:hint="eastAsia" w:ascii="黑体" w:hAnsi="黑体" w:eastAsia="黑体" w:cs="黑体"/>
          <w:b w:val="0"/>
        </w:rPr>
      </w:pPr>
      <w:r>
        <w:t>规划概述</w:t>
      </w:r>
    </w:p>
    <w:p>
      <w:pPr>
        <w:pStyle w:val="13"/>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eastAsia="宋体"/>
          <w:lang w:eastAsia="zh-CN"/>
        </w:rPr>
      </w:pPr>
      <w:r>
        <w:rPr>
          <w:rFonts w:hint="eastAsia"/>
          <w:lang w:eastAsia="zh-CN"/>
        </w:rPr>
        <w:t>为落实《四平市国土空间总体规划（2021—2035年）》有关要求，提升土地集约利用效率，特编制本详细规划。该地块已纳入城镇开发边界范围内，不涉及永久基本农田和生态保护红线。</w:t>
      </w:r>
    </w:p>
    <w:p>
      <w:pPr>
        <w:pStyle w:val="13"/>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eastAsia="宋体"/>
          <w:lang w:eastAsia="zh-CN"/>
        </w:rPr>
      </w:pPr>
      <w:r>
        <w:rPr>
          <w:rFonts w:hint="eastAsia"/>
          <w:lang w:eastAsia="zh-CN"/>
        </w:rPr>
        <w:t>规划范围：四平市铁西区，一经街东侧、北环城路北侧，</w:t>
      </w:r>
      <w:r>
        <w:rPr>
          <w:rFonts w:hint="eastAsia"/>
          <w:lang w:val="en-US" w:eastAsia="zh-CN"/>
        </w:rPr>
        <w:t>总</w:t>
      </w:r>
      <w:r>
        <w:rPr>
          <w:rFonts w:hint="eastAsia"/>
          <w:lang w:eastAsia="zh-CN"/>
        </w:rPr>
        <w:t>用地面积约</w:t>
      </w:r>
      <w:r>
        <w:rPr>
          <w:rFonts w:hint="eastAsia"/>
          <w:lang w:val="en-US" w:eastAsia="zh-CN"/>
        </w:rPr>
        <w:t>4209.8㎡</w:t>
      </w:r>
      <w:r>
        <w:rPr>
          <w:rFonts w:hint="eastAsia"/>
          <w:lang w:eastAsia="zh-CN"/>
        </w:rPr>
        <w:t>。</w:t>
      </w:r>
    </w:p>
    <w:p>
      <w:pPr>
        <w:pStyle w:val="13"/>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eastAsia="宋体"/>
          <w:lang w:eastAsia="zh-CN"/>
        </w:rPr>
      </w:pPr>
      <w:r>
        <w:t>公示依据：《中华人民共和国城乡规划法</w:t>
      </w:r>
      <w:bookmarkStart w:id="1" w:name="_GoBack"/>
      <w:bookmarkEnd w:id="1"/>
      <w:r>
        <w:t>》《吉林省国土空间规划条例》等相关法律法规及</w:t>
      </w:r>
      <w:r>
        <w:rPr>
          <w:rFonts w:hint="eastAsia"/>
          <w:lang w:eastAsia="zh-CN"/>
        </w:rPr>
        <w:t>技术规范</w:t>
      </w:r>
      <w:r>
        <w:t>。</w:t>
      </w:r>
    </w:p>
    <w:p>
      <w:pPr>
        <w:pStyle w:val="13"/>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color w:val="auto"/>
          <w:lang w:val="en-US" w:eastAsia="zh-CN"/>
        </w:rPr>
      </w:pPr>
      <w:r>
        <w:rPr>
          <w:rFonts w:hint="eastAsia"/>
          <w:lang w:val="en-US" w:eastAsia="zh-CN"/>
        </w:rPr>
        <w:t>编制依据：</w:t>
      </w:r>
    </w:p>
    <w:p>
      <w:pPr>
        <w:bidi w:val="0"/>
        <w:spacing w:line="360" w:lineRule="auto"/>
        <w:ind w:firstLine="480" w:firstLineChars="200"/>
        <w:rPr>
          <w:rFonts w:hint="eastAsia"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zh-CN" w:eastAsia="zh-CN"/>
        </w:rPr>
        <w:t>《中华人民共和国城乡规划法》（2019修正）；</w:t>
      </w:r>
    </w:p>
    <w:p>
      <w:pPr>
        <w:bidi w:val="0"/>
        <w:spacing w:line="360" w:lineRule="auto"/>
        <w:ind w:firstLine="480" w:firstLineChars="200"/>
        <w:rPr>
          <w:rFonts w:hint="eastAsia"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zh-CN" w:eastAsia="zh-CN"/>
        </w:rPr>
        <w:t>《中华人民共和国土地管理法》（2019修正）；</w:t>
      </w:r>
    </w:p>
    <w:p>
      <w:pPr>
        <w:bidi w:val="0"/>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w:t>
      </w:r>
      <w:r>
        <w:rPr>
          <w:rFonts w:hint="default" w:asciiTheme="minorEastAsia" w:hAnsiTheme="minorEastAsia" w:eastAsiaTheme="minorEastAsia" w:cstheme="minorEastAsia"/>
          <w:color w:val="auto"/>
          <w:sz w:val="24"/>
          <w:szCs w:val="24"/>
          <w:highlight w:val="none"/>
          <w:lang w:val="zh-CN" w:eastAsia="zh-CN"/>
        </w:rPr>
        <w:t>中华人民共和国生态环境法典</w:t>
      </w:r>
      <w:r>
        <w:rPr>
          <w:rFonts w:hint="eastAsia" w:asciiTheme="minorEastAsia" w:hAnsiTheme="minorEastAsia" w:eastAsiaTheme="minorEastAsia" w:cstheme="minorEastAsia"/>
          <w:color w:val="auto"/>
          <w:sz w:val="24"/>
          <w:szCs w:val="24"/>
          <w:highlight w:val="none"/>
          <w:lang w:val="en-US" w:eastAsia="zh-CN"/>
        </w:rPr>
        <w:t>》（</w:t>
      </w:r>
      <w:r>
        <w:rPr>
          <w:rFonts w:hint="eastAsia" w:asciiTheme="minorEastAsia" w:hAnsiTheme="minorEastAsia" w:cstheme="minorEastAsia"/>
          <w:color w:val="auto"/>
          <w:sz w:val="24"/>
          <w:szCs w:val="24"/>
          <w:highlight w:val="none"/>
          <w:lang w:val="en-US" w:eastAsia="zh-CN"/>
        </w:rPr>
        <w:t>中华人民共和国主席令 第七十号</w:t>
      </w:r>
      <w:r>
        <w:rPr>
          <w:rFonts w:hint="eastAsia" w:asciiTheme="minorEastAsia" w:hAnsiTheme="minorEastAsia" w:eastAsiaTheme="minorEastAsia" w:cstheme="minorEastAsia"/>
          <w:color w:val="auto"/>
          <w:sz w:val="24"/>
          <w:szCs w:val="24"/>
          <w:highlight w:val="none"/>
          <w:lang w:val="en-US" w:eastAsia="zh-CN"/>
        </w:rPr>
        <w:t>）</w:t>
      </w:r>
      <w:r>
        <w:rPr>
          <w:rFonts w:hint="eastAsia" w:asciiTheme="minorEastAsia" w:hAnsiTheme="minorEastAsia" w:eastAsiaTheme="minorEastAsia" w:cstheme="minorEastAsia"/>
          <w:color w:val="auto"/>
          <w:sz w:val="24"/>
          <w:szCs w:val="24"/>
          <w:highlight w:val="none"/>
          <w:lang w:val="zh-CN" w:eastAsia="zh-CN"/>
        </w:rPr>
        <w:t>；</w:t>
      </w:r>
    </w:p>
    <w:p>
      <w:pPr>
        <w:bidi w:val="0"/>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《城市、镇控制性详细规划编制办法》（住建部令第7号）</w:t>
      </w:r>
      <w:r>
        <w:rPr>
          <w:rFonts w:hint="eastAsia" w:asciiTheme="minorEastAsia" w:hAnsiTheme="minorEastAsia" w:eastAsiaTheme="minorEastAsia" w:cstheme="minorEastAsia"/>
          <w:color w:val="auto"/>
          <w:sz w:val="24"/>
          <w:szCs w:val="24"/>
          <w:highlight w:val="none"/>
          <w:lang w:val="zh-CN" w:eastAsia="zh-CN"/>
        </w:rPr>
        <w:t>；</w:t>
      </w:r>
    </w:p>
    <w:p>
      <w:pPr>
        <w:bidi w:val="0"/>
        <w:spacing w:line="360" w:lineRule="auto"/>
        <w:ind w:firstLine="480" w:firstLineChars="200"/>
        <w:rPr>
          <w:rFonts w:hint="eastAsia"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zh-CN" w:eastAsia="zh-CN"/>
        </w:rPr>
        <w:t>《中共中央、国务院关于建立国土空间规划体系并监督实施的若干意见》（中发〔2019〕18号）；</w:t>
      </w:r>
    </w:p>
    <w:p>
      <w:pPr>
        <w:bidi w:val="0"/>
        <w:spacing w:line="360" w:lineRule="auto"/>
        <w:ind w:firstLine="480" w:firstLineChars="200"/>
        <w:rPr>
          <w:rFonts w:hint="eastAsia"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zh-CN" w:eastAsia="zh-CN"/>
        </w:rPr>
        <w:t>《</w:t>
      </w:r>
      <w:r>
        <w:rPr>
          <w:rFonts w:hint="eastAsia" w:asciiTheme="minorEastAsia" w:hAnsiTheme="minorEastAsia" w:eastAsiaTheme="minorEastAsia" w:cstheme="minorEastAsia"/>
          <w:color w:val="auto"/>
          <w:sz w:val="24"/>
          <w:szCs w:val="24"/>
          <w:highlight w:val="none"/>
          <w:lang w:val="en-US" w:eastAsia="zh-CN"/>
        </w:rPr>
        <w:t>自然资源部关于进一步加强国土空间规划编制和实施管理的通知</w:t>
      </w:r>
      <w:r>
        <w:rPr>
          <w:rFonts w:hint="eastAsia" w:asciiTheme="minorEastAsia" w:hAnsiTheme="minorEastAsia" w:eastAsiaTheme="minorEastAsia" w:cstheme="minorEastAsia"/>
          <w:color w:val="auto"/>
          <w:sz w:val="24"/>
          <w:szCs w:val="24"/>
          <w:highlight w:val="none"/>
          <w:lang w:val="zh-CN" w:eastAsia="zh-CN"/>
        </w:rPr>
        <w:t>》（</w:t>
      </w:r>
      <w:r>
        <w:rPr>
          <w:rFonts w:hint="eastAsia" w:asciiTheme="minorEastAsia" w:hAnsiTheme="minorEastAsia" w:eastAsiaTheme="minorEastAsia" w:cstheme="minorEastAsia"/>
          <w:color w:val="auto"/>
          <w:sz w:val="24"/>
          <w:szCs w:val="24"/>
          <w:highlight w:val="none"/>
          <w:lang w:val="en-US" w:eastAsia="zh-CN"/>
        </w:rPr>
        <w:t>自然资</w:t>
      </w:r>
      <w:r>
        <w:rPr>
          <w:rFonts w:hint="eastAsia" w:asciiTheme="minorEastAsia" w:hAnsiTheme="minorEastAsia" w:eastAsiaTheme="minorEastAsia" w:cstheme="minorEastAsia"/>
          <w:color w:val="auto"/>
          <w:sz w:val="24"/>
          <w:szCs w:val="24"/>
          <w:highlight w:val="none"/>
          <w:lang w:val="zh-CN" w:eastAsia="zh-CN"/>
        </w:rPr>
        <w:t>发〔20</w:t>
      </w:r>
      <w:r>
        <w:rPr>
          <w:rFonts w:hint="eastAsia" w:asciiTheme="minorEastAsia" w:hAnsiTheme="minorEastAsia" w:eastAsiaTheme="minorEastAsia" w:cstheme="minorEastAsia"/>
          <w:color w:val="auto"/>
          <w:sz w:val="24"/>
          <w:szCs w:val="24"/>
          <w:highlight w:val="none"/>
          <w:lang w:val="en-US" w:eastAsia="zh-CN"/>
        </w:rPr>
        <w:t>22</w:t>
      </w:r>
      <w:r>
        <w:rPr>
          <w:rFonts w:hint="eastAsia" w:asciiTheme="minorEastAsia" w:hAnsiTheme="minorEastAsia" w:eastAsiaTheme="minorEastAsia" w:cstheme="minorEastAsia"/>
          <w:color w:val="auto"/>
          <w:sz w:val="24"/>
          <w:szCs w:val="24"/>
          <w:highlight w:val="none"/>
          <w:lang w:val="zh-CN" w:eastAsia="zh-CN"/>
        </w:rPr>
        <w:t>〕18</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lang w:val="zh-CN" w:eastAsia="zh-CN"/>
        </w:rPr>
        <w:t>号）；</w:t>
      </w:r>
    </w:p>
    <w:p>
      <w:pPr>
        <w:bidi w:val="0"/>
        <w:spacing w:line="360" w:lineRule="auto"/>
        <w:ind w:firstLine="480" w:firstLineChars="200"/>
        <w:rPr>
          <w:rFonts w:hint="eastAsia"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zh-CN" w:eastAsia="zh-CN"/>
        </w:rPr>
        <w:t>《自然资源部关于加强国土空间详细规划工作的通知》（自然资发〔20</w:t>
      </w:r>
      <w:r>
        <w:rPr>
          <w:rFonts w:hint="eastAsia" w:asciiTheme="minorEastAsia" w:hAnsiTheme="minorEastAsia" w:eastAsiaTheme="minorEastAsia" w:cstheme="minorEastAsia"/>
          <w:color w:val="auto"/>
          <w:sz w:val="24"/>
          <w:szCs w:val="24"/>
          <w:highlight w:val="none"/>
          <w:lang w:val="en-US" w:eastAsia="zh-CN"/>
        </w:rPr>
        <w:t>23</w:t>
      </w:r>
      <w:r>
        <w:rPr>
          <w:rFonts w:hint="eastAsia" w:asciiTheme="minorEastAsia" w:hAnsiTheme="minorEastAsia" w:eastAsiaTheme="minorEastAsia" w:cstheme="minorEastAsia"/>
          <w:color w:val="auto"/>
          <w:sz w:val="24"/>
          <w:szCs w:val="24"/>
          <w:highlight w:val="none"/>
          <w:lang w:val="zh-CN" w:eastAsia="zh-CN"/>
        </w:rPr>
        <w:t>〕</w:t>
      </w:r>
      <w:r>
        <w:rPr>
          <w:rFonts w:hint="eastAsia" w:asciiTheme="minorEastAsia" w:hAnsiTheme="minorEastAsia" w:eastAsiaTheme="minorEastAsia" w:cstheme="minorEastAsia"/>
          <w:color w:val="auto"/>
          <w:sz w:val="24"/>
          <w:szCs w:val="24"/>
          <w:highlight w:val="none"/>
          <w:lang w:val="en-US" w:eastAsia="zh-CN"/>
        </w:rPr>
        <w:t>43</w:t>
      </w:r>
      <w:r>
        <w:rPr>
          <w:rFonts w:hint="eastAsia" w:asciiTheme="minorEastAsia" w:hAnsiTheme="minorEastAsia" w:eastAsiaTheme="minorEastAsia" w:cstheme="minorEastAsia"/>
          <w:color w:val="auto"/>
          <w:sz w:val="24"/>
          <w:szCs w:val="24"/>
          <w:highlight w:val="none"/>
          <w:lang w:val="zh-CN" w:eastAsia="zh-CN"/>
        </w:rPr>
        <w:t>号）；</w:t>
      </w:r>
    </w:p>
    <w:p>
      <w:pPr>
        <w:bidi w:val="0"/>
        <w:spacing w:line="360" w:lineRule="auto"/>
        <w:ind w:firstLine="480" w:firstLineChars="200"/>
        <w:rPr>
          <w:rFonts w:hint="eastAsia"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zh-CN" w:eastAsia="zh-CN"/>
        </w:rPr>
        <w:t>《国土空间调查、规划、用途管制用地用海分类指南》（</w:t>
      </w:r>
      <w:r>
        <w:rPr>
          <w:rFonts w:hint="eastAsia" w:asciiTheme="minorEastAsia" w:hAnsiTheme="minorEastAsia" w:eastAsiaTheme="minorEastAsia" w:cstheme="minorEastAsia"/>
          <w:color w:val="auto"/>
          <w:sz w:val="24"/>
          <w:szCs w:val="24"/>
          <w:highlight w:val="none"/>
          <w:lang w:val="en-US" w:eastAsia="zh-CN"/>
        </w:rPr>
        <w:t>自然资源部 2023年11月</w:t>
      </w:r>
      <w:r>
        <w:rPr>
          <w:rFonts w:hint="eastAsia" w:asciiTheme="minorEastAsia" w:hAnsiTheme="minorEastAsia" w:eastAsiaTheme="minorEastAsia" w:cstheme="minorEastAsia"/>
          <w:color w:val="auto"/>
          <w:sz w:val="24"/>
          <w:szCs w:val="24"/>
          <w:highlight w:val="none"/>
          <w:lang w:val="zh-CN" w:eastAsia="zh-CN"/>
        </w:rPr>
        <w:t>）；</w:t>
      </w:r>
    </w:p>
    <w:p>
      <w:pPr>
        <w:bidi w:val="0"/>
        <w:spacing w:line="360" w:lineRule="auto"/>
        <w:ind w:firstLine="480" w:firstLineChars="200"/>
        <w:rPr>
          <w:rFonts w:hint="eastAsia"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zh-CN" w:eastAsia="zh-CN"/>
        </w:rPr>
        <w:t>《吉林省城乡规划条例》（</w:t>
      </w:r>
      <w:r>
        <w:rPr>
          <w:rFonts w:hint="eastAsia" w:asciiTheme="minorEastAsia" w:hAnsiTheme="minorEastAsia" w:eastAsiaTheme="minorEastAsia" w:cstheme="minorEastAsia"/>
          <w:color w:val="auto"/>
          <w:sz w:val="24"/>
          <w:szCs w:val="24"/>
          <w:highlight w:val="none"/>
          <w:lang w:val="en-US" w:eastAsia="zh-CN"/>
        </w:rPr>
        <w:t>2011年通过</w:t>
      </w:r>
      <w:r>
        <w:rPr>
          <w:rFonts w:hint="eastAsia" w:asciiTheme="minorEastAsia" w:hAnsiTheme="minorEastAsia" w:eastAsiaTheme="minorEastAsia" w:cstheme="minorEastAsia"/>
          <w:color w:val="auto"/>
          <w:sz w:val="24"/>
          <w:szCs w:val="24"/>
          <w:highlight w:val="none"/>
          <w:lang w:val="zh-CN" w:eastAsia="zh-CN"/>
        </w:rPr>
        <w:t>）；</w:t>
      </w:r>
    </w:p>
    <w:p>
      <w:pPr>
        <w:bidi w:val="0"/>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zh-CN" w:eastAsia="zh-CN"/>
        </w:rPr>
        <w:t>《吉林省城镇开发边界内详细规划导则</w:t>
      </w:r>
      <w:r>
        <w:rPr>
          <w:rFonts w:hint="eastAsia" w:asciiTheme="minorEastAsia" w:hAnsiTheme="minorEastAsia" w:eastAsiaTheme="minorEastAsia" w:cstheme="minorEastAsia"/>
          <w:color w:val="auto"/>
          <w:sz w:val="24"/>
          <w:szCs w:val="24"/>
          <w:highlight w:val="none"/>
          <w:lang w:val="en-US" w:eastAsia="zh-CN"/>
        </w:rPr>
        <w:t>（试行）</w:t>
      </w:r>
      <w:r>
        <w:rPr>
          <w:rFonts w:hint="eastAsia" w:asciiTheme="minorEastAsia" w:hAnsiTheme="minorEastAsia" w:eastAsiaTheme="minorEastAsia" w:cstheme="minorEastAsia"/>
          <w:color w:val="auto"/>
          <w:sz w:val="24"/>
          <w:szCs w:val="24"/>
          <w:highlight w:val="none"/>
          <w:lang w:val="zh-CN" w:eastAsia="zh-CN"/>
        </w:rPr>
        <w:t>》（</w:t>
      </w:r>
      <w:r>
        <w:rPr>
          <w:rFonts w:hint="eastAsia" w:asciiTheme="minorEastAsia" w:hAnsiTheme="minorEastAsia" w:eastAsiaTheme="minorEastAsia" w:cstheme="minorEastAsia"/>
          <w:color w:val="auto"/>
          <w:sz w:val="24"/>
          <w:szCs w:val="24"/>
          <w:highlight w:val="none"/>
          <w:lang w:val="en-US" w:eastAsia="zh-CN"/>
        </w:rPr>
        <w:t>吉自然资规</w:t>
      </w:r>
      <w:r>
        <w:rPr>
          <w:rFonts w:hint="eastAsia" w:asciiTheme="minorEastAsia" w:hAnsiTheme="minorEastAsia" w:eastAsiaTheme="minorEastAsia" w:cstheme="minorEastAsia"/>
          <w:color w:val="auto"/>
          <w:sz w:val="24"/>
          <w:szCs w:val="24"/>
          <w:highlight w:val="none"/>
          <w:lang w:val="zh-CN" w:eastAsia="zh-CN"/>
        </w:rPr>
        <w:t>〔</w:t>
      </w:r>
      <w:r>
        <w:rPr>
          <w:rFonts w:hint="eastAsia" w:asciiTheme="minorEastAsia" w:hAnsiTheme="minorEastAsia" w:eastAsiaTheme="minorEastAsia" w:cstheme="minorEastAsia"/>
          <w:color w:val="auto"/>
          <w:sz w:val="24"/>
          <w:szCs w:val="24"/>
          <w:highlight w:val="none"/>
          <w:lang w:val="en-US" w:eastAsia="zh-CN"/>
        </w:rPr>
        <w:t>2024</w:t>
      </w:r>
      <w:r>
        <w:rPr>
          <w:rFonts w:hint="eastAsia" w:asciiTheme="minorEastAsia" w:hAnsiTheme="minorEastAsia" w:eastAsiaTheme="minorEastAsia" w:cstheme="minorEastAsia"/>
          <w:color w:val="auto"/>
          <w:sz w:val="24"/>
          <w:szCs w:val="24"/>
          <w:highlight w:val="none"/>
          <w:lang w:val="zh-CN" w:eastAsia="zh-CN"/>
        </w:rPr>
        <w:t>〕</w:t>
      </w:r>
      <w:r>
        <w:rPr>
          <w:rFonts w:hint="eastAsia" w:asciiTheme="minorEastAsia" w:hAnsiTheme="minorEastAsia" w:eastAsiaTheme="minorEastAsia" w:cstheme="minorEastAsia"/>
          <w:color w:val="auto"/>
          <w:sz w:val="24"/>
          <w:szCs w:val="24"/>
          <w:highlight w:val="none"/>
          <w:lang w:val="en-US" w:eastAsia="zh-CN"/>
        </w:rPr>
        <w:t>3号</w:t>
      </w:r>
      <w:r>
        <w:rPr>
          <w:rFonts w:hint="eastAsia" w:asciiTheme="minorEastAsia" w:hAnsiTheme="minorEastAsia" w:eastAsiaTheme="minorEastAsia" w:cstheme="minorEastAsia"/>
          <w:color w:val="auto"/>
          <w:sz w:val="24"/>
          <w:szCs w:val="24"/>
          <w:highlight w:val="none"/>
          <w:lang w:val="zh-CN" w:eastAsia="zh-CN"/>
        </w:rPr>
        <w:t>）</w:t>
      </w:r>
      <w:r>
        <w:rPr>
          <w:rFonts w:hint="eastAsia" w:asciiTheme="minorEastAsia" w:hAnsiTheme="minorEastAsia" w:eastAsiaTheme="minorEastAsia" w:cstheme="minorEastAsia"/>
          <w:color w:val="auto"/>
          <w:sz w:val="24"/>
          <w:szCs w:val="24"/>
          <w:highlight w:val="none"/>
          <w:lang w:val="en-US" w:eastAsia="zh-CN"/>
        </w:rPr>
        <w:t>；</w:t>
      </w:r>
    </w:p>
    <w:p>
      <w:pPr>
        <w:bidi w:val="0"/>
        <w:spacing w:line="360" w:lineRule="auto"/>
        <w:ind w:firstLine="480" w:firstLineChars="200"/>
        <w:rPr>
          <w:rFonts w:hint="eastAsia"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zh-CN" w:eastAsia="zh-CN"/>
        </w:rPr>
        <w:t>《四平市国民经济和社会发展第十五个五年规划纲要》（</w:t>
      </w:r>
      <w:r>
        <w:rPr>
          <w:rFonts w:hint="eastAsia" w:asciiTheme="minorEastAsia" w:hAnsiTheme="minorEastAsia" w:eastAsiaTheme="minorEastAsia" w:cstheme="minorEastAsia"/>
          <w:color w:val="auto"/>
          <w:sz w:val="24"/>
          <w:szCs w:val="24"/>
          <w:highlight w:val="none"/>
          <w:lang w:val="en-US" w:eastAsia="zh-CN"/>
        </w:rPr>
        <w:t>四平市人民政府 2026年5月</w:t>
      </w:r>
      <w:r>
        <w:rPr>
          <w:rFonts w:hint="eastAsia" w:asciiTheme="minorEastAsia" w:hAnsiTheme="minorEastAsia" w:eastAsiaTheme="minorEastAsia" w:cstheme="minorEastAsia"/>
          <w:color w:val="auto"/>
          <w:sz w:val="24"/>
          <w:szCs w:val="24"/>
          <w:highlight w:val="none"/>
          <w:lang w:val="zh-CN" w:eastAsia="zh-CN"/>
        </w:rPr>
        <w:t>）；</w:t>
      </w:r>
    </w:p>
    <w:p>
      <w:pPr>
        <w:bidi w:val="0"/>
        <w:spacing w:line="360" w:lineRule="auto"/>
        <w:ind w:firstLine="480" w:firstLineChars="200"/>
        <w:rPr>
          <w:rFonts w:hint="eastAsia"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zh-CN" w:eastAsia="zh-CN"/>
        </w:rPr>
        <w:t>《</w:t>
      </w:r>
      <w:r>
        <w:rPr>
          <w:rFonts w:hint="eastAsia" w:asciiTheme="minorEastAsia" w:hAnsiTheme="minorEastAsia" w:eastAsiaTheme="minorEastAsia" w:cstheme="minorEastAsia"/>
          <w:color w:val="auto"/>
          <w:sz w:val="24"/>
          <w:szCs w:val="24"/>
          <w:highlight w:val="none"/>
          <w:lang w:val="en-US" w:eastAsia="zh-CN"/>
        </w:rPr>
        <w:t>四平市国土空间总体规划</w:t>
      </w:r>
      <w:bookmarkStart w:id="0" w:name="_Toc498427575"/>
      <w:r>
        <w:rPr>
          <w:rFonts w:hint="eastAsia" w:asciiTheme="minorEastAsia" w:hAnsiTheme="minorEastAsia" w:eastAsiaTheme="minorEastAsia" w:cstheme="minorEastAsia"/>
          <w:color w:val="auto"/>
          <w:sz w:val="24"/>
          <w:szCs w:val="24"/>
          <w:highlight w:val="none"/>
          <w:lang w:val="en-US" w:eastAsia="zh-CN"/>
        </w:rPr>
        <w:t>（2021-2035年）</w:t>
      </w:r>
      <w:bookmarkEnd w:id="0"/>
      <w:r>
        <w:rPr>
          <w:rFonts w:hint="eastAsia" w:asciiTheme="minorEastAsia" w:hAnsiTheme="minorEastAsia" w:eastAsiaTheme="minorEastAsia" w:cstheme="minorEastAsia"/>
          <w:color w:val="auto"/>
          <w:sz w:val="24"/>
          <w:szCs w:val="24"/>
          <w:highlight w:val="none"/>
          <w:lang w:val="zh-CN" w:eastAsia="zh-CN"/>
        </w:rPr>
        <w:t>》；</w:t>
      </w:r>
    </w:p>
    <w:p>
      <w:pPr>
        <w:bidi w:val="0"/>
        <w:spacing w:line="360" w:lineRule="auto"/>
        <w:ind w:firstLine="480" w:firstLineChars="200"/>
        <w:rPr>
          <w:rFonts w:hint="eastAsia"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zh-CN" w:eastAsia="zh-CN"/>
        </w:rPr>
        <w:t>《四平市生态环境局 四平市自然资源局关于进一步加强建设用地安全利用有关工作的通知》（</w:t>
      </w:r>
      <w:r>
        <w:rPr>
          <w:rFonts w:hint="eastAsia" w:asciiTheme="minorEastAsia" w:hAnsiTheme="minorEastAsia" w:eastAsiaTheme="minorEastAsia" w:cstheme="minorEastAsia"/>
          <w:color w:val="auto"/>
          <w:sz w:val="24"/>
          <w:szCs w:val="24"/>
          <w:highlight w:val="none"/>
          <w:lang w:val="en-US" w:eastAsia="zh-CN"/>
        </w:rPr>
        <w:t>四环联字</w:t>
      </w:r>
      <w:r>
        <w:rPr>
          <w:rFonts w:hint="eastAsia" w:asciiTheme="minorEastAsia" w:hAnsiTheme="minorEastAsia" w:eastAsiaTheme="minorEastAsia" w:cstheme="minorEastAsia"/>
          <w:color w:val="auto"/>
          <w:sz w:val="24"/>
          <w:szCs w:val="24"/>
          <w:highlight w:val="none"/>
          <w:lang w:val="zh-CN" w:eastAsia="zh-CN"/>
        </w:rPr>
        <w:t>〔</w:t>
      </w:r>
      <w:r>
        <w:rPr>
          <w:rFonts w:hint="eastAsia" w:asciiTheme="minorEastAsia" w:hAnsiTheme="minorEastAsia" w:eastAsiaTheme="minorEastAsia" w:cstheme="minorEastAsia"/>
          <w:color w:val="auto"/>
          <w:sz w:val="24"/>
          <w:szCs w:val="24"/>
          <w:highlight w:val="none"/>
          <w:lang w:val="en-US" w:eastAsia="zh-CN"/>
        </w:rPr>
        <w:t>2022</w:t>
      </w:r>
      <w:r>
        <w:rPr>
          <w:rFonts w:hint="eastAsia" w:asciiTheme="minorEastAsia" w:hAnsiTheme="minorEastAsia" w:eastAsiaTheme="minorEastAsia" w:cstheme="minorEastAsia"/>
          <w:color w:val="auto"/>
          <w:sz w:val="24"/>
          <w:szCs w:val="24"/>
          <w:highlight w:val="none"/>
          <w:lang w:val="zh-CN" w:eastAsia="zh-CN"/>
        </w:rPr>
        <w:t>〕</w:t>
      </w:r>
      <w:r>
        <w:rPr>
          <w:rFonts w:hint="eastAsia" w:asciiTheme="minorEastAsia" w:hAnsiTheme="minorEastAsia" w:eastAsiaTheme="minorEastAsia" w:cstheme="minorEastAsia"/>
          <w:color w:val="auto"/>
          <w:sz w:val="24"/>
          <w:szCs w:val="24"/>
          <w:highlight w:val="none"/>
          <w:lang w:val="en-US" w:eastAsia="zh-CN"/>
        </w:rPr>
        <w:t>12号</w:t>
      </w:r>
      <w:r>
        <w:rPr>
          <w:rFonts w:hint="eastAsia" w:asciiTheme="minorEastAsia" w:hAnsiTheme="minorEastAsia" w:eastAsiaTheme="minorEastAsia" w:cstheme="minorEastAsia"/>
          <w:color w:val="auto"/>
          <w:sz w:val="24"/>
          <w:szCs w:val="24"/>
          <w:highlight w:val="none"/>
          <w:lang w:val="zh-CN" w:eastAsia="zh-CN"/>
        </w:rPr>
        <w:t>）；</w:t>
      </w:r>
    </w:p>
    <w:p>
      <w:pPr>
        <w:bidi w:val="0"/>
        <w:spacing w:line="360" w:lineRule="auto"/>
        <w:ind w:firstLine="480" w:firstLineChars="200"/>
        <w:rPr>
          <w:rFonts w:hint="eastAsia"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zh-CN" w:eastAsia="zh-CN"/>
        </w:rPr>
        <w:t>《</w:t>
      </w:r>
      <w:r>
        <w:rPr>
          <w:rFonts w:hint="eastAsia" w:asciiTheme="minorEastAsia" w:hAnsiTheme="minorEastAsia" w:eastAsiaTheme="minorEastAsia" w:cstheme="minorEastAsia"/>
          <w:color w:val="auto"/>
          <w:sz w:val="24"/>
          <w:szCs w:val="24"/>
          <w:highlight w:val="none"/>
          <w:lang w:val="en-US" w:eastAsia="zh-CN"/>
        </w:rPr>
        <w:t>四平市人民政府办公室关于印发 四平市生态环境分区管控实施方案的通知</w:t>
      </w:r>
      <w:r>
        <w:rPr>
          <w:rFonts w:hint="eastAsia" w:asciiTheme="minorEastAsia" w:hAnsiTheme="minorEastAsia" w:eastAsiaTheme="minorEastAsia" w:cstheme="minorEastAsia"/>
          <w:color w:val="auto"/>
          <w:sz w:val="24"/>
          <w:szCs w:val="24"/>
          <w:highlight w:val="none"/>
          <w:lang w:val="zh-CN" w:eastAsia="zh-CN"/>
        </w:rPr>
        <w:t>》（</w:t>
      </w:r>
      <w:r>
        <w:rPr>
          <w:rFonts w:hint="eastAsia" w:asciiTheme="minorEastAsia" w:hAnsiTheme="minorEastAsia" w:eastAsiaTheme="minorEastAsia" w:cstheme="minorEastAsia"/>
          <w:color w:val="auto"/>
          <w:sz w:val="24"/>
          <w:szCs w:val="24"/>
          <w:highlight w:val="none"/>
          <w:lang w:val="en-US" w:eastAsia="zh-CN"/>
        </w:rPr>
        <w:t>四政办发</w:t>
      </w:r>
      <w:r>
        <w:rPr>
          <w:rFonts w:hint="eastAsia" w:asciiTheme="minorEastAsia" w:hAnsiTheme="minorEastAsia" w:eastAsiaTheme="minorEastAsia" w:cstheme="minorEastAsia"/>
          <w:color w:val="auto"/>
          <w:sz w:val="24"/>
          <w:szCs w:val="24"/>
          <w:highlight w:val="none"/>
          <w:lang w:val="zh-CN" w:eastAsia="zh-CN"/>
        </w:rPr>
        <w:t>〔</w:t>
      </w:r>
      <w:r>
        <w:rPr>
          <w:rFonts w:hint="eastAsia" w:asciiTheme="minorEastAsia" w:hAnsiTheme="minorEastAsia" w:eastAsiaTheme="minorEastAsia" w:cstheme="minorEastAsia"/>
          <w:color w:val="auto"/>
          <w:sz w:val="24"/>
          <w:szCs w:val="24"/>
          <w:highlight w:val="none"/>
          <w:lang w:val="en-US" w:eastAsia="zh-CN"/>
        </w:rPr>
        <w:t>2024</w:t>
      </w:r>
      <w:r>
        <w:rPr>
          <w:rFonts w:hint="eastAsia" w:asciiTheme="minorEastAsia" w:hAnsiTheme="minorEastAsia" w:eastAsiaTheme="minorEastAsia" w:cstheme="minorEastAsia"/>
          <w:color w:val="auto"/>
          <w:sz w:val="24"/>
          <w:szCs w:val="24"/>
          <w:highlight w:val="none"/>
          <w:lang w:val="zh-CN" w:eastAsia="zh-CN"/>
        </w:rPr>
        <w:t>〕</w:t>
      </w:r>
      <w:r>
        <w:rPr>
          <w:rFonts w:hint="eastAsia" w:asciiTheme="minorEastAsia" w:hAnsiTheme="minorEastAsia" w:eastAsiaTheme="minorEastAsia" w:cstheme="minorEastAsia"/>
          <w:color w:val="auto"/>
          <w:sz w:val="24"/>
          <w:szCs w:val="24"/>
          <w:highlight w:val="none"/>
          <w:lang w:val="en-US" w:eastAsia="zh-CN"/>
        </w:rPr>
        <w:t>9号</w:t>
      </w:r>
      <w:r>
        <w:rPr>
          <w:rFonts w:hint="eastAsia" w:asciiTheme="minorEastAsia" w:hAnsiTheme="minorEastAsia" w:eastAsiaTheme="minorEastAsia" w:cstheme="minorEastAsia"/>
          <w:color w:val="auto"/>
          <w:sz w:val="24"/>
          <w:szCs w:val="24"/>
          <w:highlight w:val="none"/>
          <w:lang w:val="zh-CN" w:eastAsia="zh-CN"/>
        </w:rPr>
        <w:t>）；</w:t>
      </w:r>
    </w:p>
    <w:p>
      <w:pPr>
        <w:bidi w:val="0"/>
        <w:spacing w:line="360" w:lineRule="auto"/>
        <w:ind w:firstLine="480" w:firstLineChars="200"/>
        <w:rPr>
          <w:rFonts w:hint="eastAsia"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zh-CN" w:eastAsia="zh-CN"/>
        </w:rPr>
        <w:t>《四平市城市燃气专项规划（2021-2035年）》；</w:t>
      </w:r>
    </w:p>
    <w:p>
      <w:pPr>
        <w:pStyle w:val="11"/>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kern w:val="0"/>
          <w:sz w:val="24"/>
          <w:szCs w:val="24"/>
          <w:lang w:val="en-US" w:eastAsia="zh-CN" w:bidi="ar-SA"/>
        </w:rPr>
        <w:t>《汽车加油加气加氢站技术标准》（GB 50156-2021）；</w:t>
      </w:r>
    </w:p>
    <w:p>
      <w:pPr>
        <w:pStyle w:val="13"/>
        <w:ind w:left="0" w:leftChars="0"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《城镇燃气设计规范》（GB 50028-2006）（2020年版）；</w:t>
      </w:r>
    </w:p>
    <w:p>
      <w:pPr>
        <w:ind w:left="0" w:leftChars="0" w:firstLine="480" w:firstLineChars="200"/>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4"/>
          <w:lang w:val="en-US" w:eastAsia="zh-CN" w:bidi="ar-SA"/>
        </w:rPr>
        <w:t>《建筑设计防火规范》（GB 50016-2014）（2018年版）；</w:t>
      </w:r>
    </w:p>
    <w:p>
      <w:pPr>
        <w:pStyle w:val="13"/>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4"/>
          <w:lang w:val="en-US" w:eastAsia="zh-CN" w:bidi="ar-SA"/>
        </w:rPr>
        <w:t>《建筑防火通用规范》（GB 55037-2022）；</w:t>
      </w:r>
    </w:p>
    <w:p>
      <w:pPr>
        <w:bidi w:val="0"/>
        <w:spacing w:line="360" w:lineRule="auto"/>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kern w:val="0"/>
          <w:sz w:val="24"/>
          <w:szCs w:val="24"/>
          <w:lang w:val="zh-CN" w:eastAsia="zh-CN" w:bidi="ar-SA"/>
        </w:rPr>
        <w:t>其他相关法律法规、政策文件、技术标准及现场采集的资料。</w:t>
      </w:r>
    </w:p>
    <w:p>
      <w:pPr>
        <w:pStyle w:val="2"/>
        <w:keepNext w:val="0"/>
        <w:keepLines w:val="0"/>
        <w:pageBreakBefore w:val="0"/>
        <w:widowControl w:val="0"/>
        <w:numPr>
          <w:ilvl w:val="0"/>
          <w:numId w:val="1"/>
        </w:numPr>
        <w:kinsoku/>
        <w:wordWrap/>
        <w:overflowPunct/>
        <w:topLinePunct w:val="0"/>
        <w:autoSpaceDE/>
        <w:autoSpaceDN/>
        <w:bidi w:val="0"/>
        <w:adjustRightInd w:val="0"/>
        <w:snapToGrid/>
        <w:spacing w:line="500" w:lineRule="exact"/>
        <w:ind w:left="0" w:leftChars="0" w:firstLine="0" w:firstLineChars="0"/>
        <w:textAlignment w:val="auto"/>
        <w:rPr>
          <w:rFonts w:hint="eastAsia" w:ascii="黑体" w:hAnsi="黑体" w:eastAsia="黑体" w:cs="黑体"/>
          <w:b w:val="0"/>
        </w:rPr>
      </w:pPr>
      <w:r>
        <w:t>核心规划内容</w:t>
      </w:r>
    </w:p>
    <w:p>
      <w:pPr>
        <w:pStyle w:val="3"/>
        <w:keepNext w:val="0"/>
        <w:keepLines w:val="0"/>
        <w:pageBreakBefore w:val="0"/>
        <w:widowControl w:val="0"/>
        <w:kinsoku/>
        <w:wordWrap/>
        <w:overflowPunct/>
        <w:topLinePunct w:val="0"/>
        <w:autoSpaceDE/>
        <w:autoSpaceDN/>
        <w:bidi w:val="0"/>
        <w:adjustRightInd w:val="0"/>
        <w:snapToGrid/>
        <w:spacing w:line="380" w:lineRule="exact"/>
        <w:textAlignment w:val="auto"/>
        <w:rPr>
          <w:rFonts w:hint="eastAsia"/>
          <w:lang w:val="en-US" w:eastAsia="zh-CN"/>
        </w:rPr>
      </w:pPr>
      <w:r>
        <w:rPr>
          <w:rFonts w:hint="eastAsia"/>
          <w:lang w:val="en-US" w:eastAsia="zh-CN"/>
        </w:rPr>
        <w:t>1、目标定位</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Times New Roman" w:hAnsi="Times New Roman" w:eastAsia="宋体" w:cs="Times New Roman"/>
          <w:kern w:val="2"/>
          <w:sz w:val="24"/>
          <w:szCs w:val="24"/>
          <w:lang w:eastAsia="zh-CN" w:bidi="ar-SA"/>
        </w:rPr>
      </w:pPr>
      <w:r>
        <w:rPr>
          <w:rFonts w:hint="eastAsia" w:ascii="Times New Roman" w:hAnsi="Times New Roman" w:eastAsia="宋体" w:cs="Times New Roman"/>
          <w:kern w:val="2"/>
          <w:sz w:val="24"/>
          <w:szCs w:val="24"/>
          <w:lang w:eastAsia="zh-CN" w:bidi="ar-SA"/>
        </w:rPr>
        <w:t>目标定位：</w:t>
      </w:r>
      <w:r>
        <w:rPr>
          <w:rFonts w:hint="eastAsia" w:ascii="Times New Roman" w:hAnsi="Times New Roman" w:eastAsia="宋体" w:cs="Times New Roman"/>
          <w:kern w:val="2"/>
          <w:sz w:val="24"/>
          <w:szCs w:val="24"/>
          <w:lang w:val="en-US" w:eastAsia="zh-CN" w:bidi="ar-SA"/>
        </w:rPr>
        <w:t>提高四平市铁西区公用设施的覆盖率，便利交通运输，优化能源结构、保障能源安全。</w:t>
      </w:r>
    </w:p>
    <w:p>
      <w:pPr>
        <w:pStyle w:val="3"/>
        <w:keepNext w:val="0"/>
        <w:keepLines w:val="0"/>
        <w:pageBreakBefore w:val="0"/>
        <w:widowControl w:val="0"/>
        <w:kinsoku/>
        <w:wordWrap/>
        <w:overflowPunct/>
        <w:topLinePunct w:val="0"/>
        <w:autoSpaceDE/>
        <w:autoSpaceDN/>
        <w:bidi w:val="0"/>
        <w:adjustRightInd w:val="0"/>
        <w:snapToGrid/>
        <w:spacing w:line="380" w:lineRule="exact"/>
        <w:textAlignment w:val="auto"/>
        <w:rPr>
          <w:rFonts w:hint="eastAsia" w:eastAsia="黑体"/>
          <w:lang w:eastAsia="zh-CN"/>
        </w:rPr>
      </w:pPr>
      <w:r>
        <w:rPr>
          <w:rFonts w:hint="eastAsia"/>
          <w:lang w:val="en-US" w:eastAsia="zh-CN"/>
        </w:rPr>
        <w:t>2</w:t>
      </w:r>
      <w:r>
        <w:rPr>
          <w:rFonts w:hint="eastAsia"/>
          <w:lang w:eastAsia="zh-CN"/>
        </w:rPr>
        <w:t>、景观风貌</w:t>
      </w:r>
    </w:p>
    <w:p>
      <w:pPr>
        <w:pStyle w:val="13"/>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lang w:val="zh-CN" w:eastAsia="zh-CN"/>
        </w:rPr>
      </w:pPr>
      <w:r>
        <w:rPr>
          <w:rFonts w:hint="eastAsia"/>
          <w:lang w:val="en-US" w:eastAsia="zh-CN"/>
        </w:rPr>
        <w:t>景观体系</w:t>
      </w:r>
      <w:r>
        <w:rPr>
          <w:rFonts w:hint="eastAsia"/>
          <w:lang w:eastAsia="zh-CN"/>
        </w:rPr>
        <w:t>：</w:t>
      </w:r>
      <w:r>
        <w:rPr>
          <w:rFonts w:hint="eastAsia"/>
          <w:lang w:val="zh-CN" w:eastAsia="zh-CN"/>
        </w:rPr>
        <w:t>重要景观界面、节点应与城市景观风貌相适应，避免出现异形、与城市文化差异较大的人造景观。</w:t>
      </w:r>
    </w:p>
    <w:p>
      <w:pPr>
        <w:pStyle w:val="13"/>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lang w:eastAsia="zh-CN"/>
        </w:rPr>
      </w:pPr>
      <w:r>
        <w:rPr>
          <w:rFonts w:hint="eastAsia"/>
          <w:lang w:val="en-US" w:eastAsia="zh-CN"/>
        </w:rPr>
        <w:t>风貌管控</w:t>
      </w:r>
      <w:r>
        <w:rPr>
          <w:rFonts w:hint="eastAsia"/>
          <w:lang w:eastAsia="zh-CN"/>
        </w:rPr>
        <w:t>：</w:t>
      </w:r>
      <w:r>
        <w:rPr>
          <w:rFonts w:hint="eastAsia"/>
          <w:lang w:val="zh-CN" w:eastAsia="zh-CN"/>
        </w:rPr>
        <w:t>规划和建筑设计阶段结合地域位置提出城市设计要求，处理好景观效果、建筑色彩、建筑外装修标准。建筑风格要简洁、明快，富有时代特色，建筑色彩应体现寒地城市的特点。</w:t>
      </w:r>
    </w:p>
    <w:p>
      <w:pPr>
        <w:pStyle w:val="3"/>
        <w:keepNext w:val="0"/>
        <w:keepLines w:val="0"/>
        <w:pageBreakBefore w:val="0"/>
        <w:widowControl w:val="0"/>
        <w:kinsoku/>
        <w:wordWrap/>
        <w:overflowPunct/>
        <w:topLinePunct w:val="0"/>
        <w:autoSpaceDE/>
        <w:autoSpaceDN/>
        <w:bidi w:val="0"/>
        <w:adjustRightInd w:val="0"/>
        <w:snapToGrid/>
        <w:spacing w:line="380" w:lineRule="exact"/>
        <w:textAlignment w:val="auto"/>
        <w:rPr>
          <w:rFonts w:hint="eastAsia"/>
          <w:lang w:val="en-US" w:eastAsia="zh-CN"/>
        </w:rPr>
      </w:pPr>
      <w:r>
        <w:rPr>
          <w:rFonts w:hint="eastAsia"/>
          <w:lang w:val="en-US" w:eastAsia="zh-CN"/>
        </w:rPr>
        <w:t>3、道路交通规划</w:t>
      </w:r>
    </w:p>
    <w:p>
      <w:pPr>
        <w:pStyle w:val="13"/>
        <w:keepNext w:val="0"/>
        <w:keepLines w:val="0"/>
        <w:pageBreakBefore w:val="0"/>
        <w:widowControl w:val="0"/>
        <w:kinsoku/>
        <w:wordWrap/>
        <w:overflowPunct/>
        <w:topLinePunct w:val="0"/>
        <w:autoSpaceDE/>
        <w:autoSpaceDN/>
        <w:bidi w:val="0"/>
        <w:adjustRightInd w:val="0"/>
        <w:snapToGrid/>
        <w:spacing w:line="240" w:lineRule="auto"/>
        <w:textAlignment w:val="auto"/>
        <w:rPr>
          <w:rFonts w:hint="eastAsia"/>
          <w:lang w:val="en-US" w:eastAsia="zh-CN"/>
        </w:rPr>
      </w:pPr>
      <w:r>
        <w:rPr>
          <w:rFonts w:hint="eastAsia"/>
          <w:lang w:val="en-US" w:eastAsia="zh-CN"/>
        </w:rPr>
        <w:t>出入口：机动车主出入口设置于一经街。</w:t>
      </w:r>
    </w:p>
    <w:p>
      <w:pPr>
        <w:pStyle w:val="3"/>
        <w:keepNext w:val="0"/>
        <w:keepLines w:val="0"/>
        <w:pageBreakBefore w:val="0"/>
        <w:widowControl w:val="0"/>
        <w:kinsoku/>
        <w:wordWrap/>
        <w:overflowPunct/>
        <w:topLinePunct w:val="0"/>
        <w:autoSpaceDE/>
        <w:autoSpaceDN/>
        <w:bidi w:val="0"/>
        <w:adjustRightInd w:val="0"/>
        <w:snapToGrid/>
        <w:spacing w:line="380" w:lineRule="exact"/>
        <w:textAlignment w:val="auto"/>
        <w:rPr>
          <w:rFonts w:hint="eastAsia"/>
          <w:lang w:val="en-US" w:eastAsia="zh-CN"/>
        </w:rPr>
      </w:pPr>
      <w:r>
        <w:rPr>
          <w:rFonts w:hint="eastAsia"/>
          <w:lang w:val="en-US" w:eastAsia="zh-CN"/>
        </w:rPr>
        <w:t>4、市政基础设施</w:t>
      </w:r>
    </w:p>
    <w:p>
      <w:pPr>
        <w:bidi w:val="0"/>
        <w:spacing w:line="360" w:lineRule="auto"/>
        <w:ind w:firstLine="480" w:firstLineChars="200"/>
        <w:rPr>
          <w:rFonts w:hint="eastAsia" w:ascii="仿宋_GB2312" w:hAnsi="仿宋_GB2312" w:eastAsia="仿宋_GB2312" w:cs="Times New Roman"/>
          <w:color w:val="auto"/>
          <w:sz w:val="32"/>
          <w:highlight w:val="none"/>
          <w:lang w:val="en-US" w:eastAsia="zh-CN"/>
        </w:rPr>
      </w:pPr>
      <w:r>
        <w:rPr>
          <w:rFonts w:hint="eastAsia"/>
          <w:sz w:val="24"/>
          <w:szCs w:val="32"/>
          <w:lang w:val="en-US" w:eastAsia="zh-CN"/>
        </w:rPr>
        <w:t>供水</w:t>
      </w:r>
      <w:r>
        <w:rPr>
          <w:rFonts w:hint="eastAsia" w:ascii="Times New Roman" w:hAnsi="Times New Roman" w:eastAsia="宋体" w:cs="Times New Roman"/>
          <w:kern w:val="2"/>
          <w:sz w:val="24"/>
          <w:szCs w:val="24"/>
          <w:lang w:val="en-US" w:eastAsia="zh-CN" w:bidi="ar-SA"/>
        </w:rPr>
        <w:t>由一经街规划给水管线引入；排水采用雨、污分流制，雨水近期收集并处理无污染后排出，远期排入一经街规划雨水管线。污水近期排入地块内部化粪池，定期清掏，远期全面收集经化粪池排入一经街规划污水管线；燃气管线结合项目实际需求引入，近期可使用瓶装液化气，远期由一经街规划燃气管线引入；供热近期征得相关部门同意后可采用清洁能源供热，远期由一经街规划供热管线引入；电源近期由一经街现状10KV电力线引入；通信管线由一经街现状通信管线引入；地块生活垃圾分类设施配建要求：按四平市生活垃圾分类工作 领导小组办公室印发的《2023年四平市生活垃圾分类提升工作方案》通知执行。</w:t>
      </w:r>
    </w:p>
    <w:p>
      <w:pPr>
        <w:pStyle w:val="13"/>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lang w:val="en-US" w:eastAsia="zh-CN"/>
        </w:rPr>
      </w:pPr>
      <w:r>
        <w:rPr>
          <w:rFonts w:hint="eastAsia"/>
          <w:lang w:val="en-US" w:eastAsia="zh-CN"/>
        </w:rPr>
        <w:t>海绵城市：鼓励应用透水铺装、下沉式绿地等低影响开发设施。</w:t>
      </w:r>
    </w:p>
    <w:p>
      <w:pPr>
        <w:pStyle w:val="3"/>
        <w:keepNext w:val="0"/>
        <w:keepLines w:val="0"/>
        <w:pageBreakBefore w:val="0"/>
        <w:widowControl w:val="0"/>
        <w:kinsoku/>
        <w:wordWrap/>
        <w:overflowPunct/>
        <w:topLinePunct w:val="0"/>
        <w:autoSpaceDE/>
        <w:autoSpaceDN/>
        <w:bidi w:val="0"/>
        <w:adjustRightInd w:val="0"/>
        <w:snapToGrid/>
        <w:spacing w:line="380" w:lineRule="exact"/>
        <w:textAlignment w:val="auto"/>
        <w:rPr>
          <w:rFonts w:hint="eastAsia"/>
          <w:lang w:val="en-US" w:eastAsia="zh-CN"/>
        </w:rPr>
      </w:pPr>
      <w:r>
        <w:rPr>
          <w:rFonts w:hint="eastAsia"/>
          <w:lang w:val="en-US" w:eastAsia="zh-CN"/>
        </w:rPr>
        <w:t>5、安全与防灾</w:t>
      </w:r>
    </w:p>
    <w:p>
      <w:pPr>
        <w:pStyle w:val="13"/>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eastAsia="宋体"/>
          <w:lang w:eastAsia="zh-CN"/>
        </w:rPr>
      </w:pPr>
      <w:r>
        <w:rPr>
          <w:rFonts w:hint="eastAsia"/>
          <w:lang w:eastAsia="zh-CN"/>
        </w:rPr>
        <w:t>消防：建筑及总平面设计应严格遵循《建筑设计防火规范》，保障消防通道畅通无阻。</w:t>
      </w:r>
    </w:p>
    <w:p>
      <w:pPr>
        <w:pStyle w:val="3"/>
        <w:keepNext w:val="0"/>
        <w:keepLines w:val="0"/>
        <w:pageBreakBefore w:val="0"/>
        <w:widowControl w:val="0"/>
        <w:kinsoku/>
        <w:wordWrap/>
        <w:overflowPunct/>
        <w:topLinePunct w:val="0"/>
        <w:autoSpaceDE/>
        <w:autoSpaceDN/>
        <w:bidi w:val="0"/>
        <w:adjustRightInd w:val="0"/>
        <w:snapToGrid/>
        <w:spacing w:line="380" w:lineRule="exact"/>
        <w:textAlignment w:val="auto"/>
        <w:rPr>
          <w:rFonts w:hint="eastAsia"/>
          <w:lang w:val="en-US" w:eastAsia="zh-CN"/>
        </w:rPr>
      </w:pPr>
      <w:r>
        <w:rPr>
          <w:rFonts w:hint="eastAsia"/>
          <w:lang w:val="en-US" w:eastAsia="zh-CN"/>
        </w:rPr>
        <w:t>6、规划控制线</w:t>
      </w:r>
    </w:p>
    <w:p>
      <w:pPr>
        <w:pStyle w:val="13"/>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lang w:val="en-US" w:eastAsia="zh-CN"/>
        </w:rPr>
      </w:pPr>
      <w:r>
        <w:rPr>
          <w:rFonts w:hint="eastAsia"/>
          <w:lang w:val="en-US" w:eastAsia="zh-CN"/>
        </w:rPr>
        <w:t>四线控制：本规划不涉及城市绿线、蓝线、黄线及紫线控制。</w:t>
      </w:r>
    </w:p>
    <w:p>
      <w:pPr>
        <w:pStyle w:val="13"/>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lang w:val="en-US" w:eastAsia="zh-CN"/>
        </w:rPr>
      </w:pPr>
    </w:p>
    <w:p>
      <w:pPr>
        <w:pStyle w:val="13"/>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lang w:val="en-US" w:eastAsia="zh-CN"/>
        </w:rPr>
      </w:pPr>
      <w:r>
        <w:rPr>
          <w:rFonts w:hint="eastAsia"/>
          <w:lang w:val="en-US" w:eastAsia="zh-CN"/>
        </w:rPr>
        <w:t>本规划经批准后，即作为国土空间用途管制及核发建设用地规划许可证、建设工程规划许可证的法定依据。任何单位和个人不得擅自变更；确需修改的，须按法定程序报批。</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E6863B"/>
    <w:multiLevelType w:val="singleLevel"/>
    <w:tmpl w:val="6CE6863B"/>
    <w:lvl w:ilvl="0" w:tentative="0">
      <w:start w:val="1"/>
      <w:numFmt w:val="chineseCounting"/>
      <w:suff w:val="nothing"/>
      <w:lvlText w:val="%1、"/>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5OGRiMTk5ZGY2ZTIyMDY3NTI3YTQ1MTdhZWUyOGMifQ=="/>
  </w:docVars>
  <w:rsids>
    <w:rsidRoot w:val="0CC37827"/>
    <w:rsid w:val="02CE04CF"/>
    <w:rsid w:val="03F86B1C"/>
    <w:rsid w:val="04506E81"/>
    <w:rsid w:val="0BB66575"/>
    <w:rsid w:val="0CC37827"/>
    <w:rsid w:val="0CEF2A86"/>
    <w:rsid w:val="0D1B4B6C"/>
    <w:rsid w:val="101F18D4"/>
    <w:rsid w:val="143556B4"/>
    <w:rsid w:val="1C855369"/>
    <w:rsid w:val="20A50C14"/>
    <w:rsid w:val="20B85B4C"/>
    <w:rsid w:val="214A4127"/>
    <w:rsid w:val="22821F7B"/>
    <w:rsid w:val="2B984192"/>
    <w:rsid w:val="2FB1536E"/>
    <w:rsid w:val="32CA25D0"/>
    <w:rsid w:val="34CE7ACB"/>
    <w:rsid w:val="3A74554C"/>
    <w:rsid w:val="3DE97373"/>
    <w:rsid w:val="40447D11"/>
    <w:rsid w:val="41566655"/>
    <w:rsid w:val="47442E6F"/>
    <w:rsid w:val="47887E1C"/>
    <w:rsid w:val="4AE313A2"/>
    <w:rsid w:val="4B01400A"/>
    <w:rsid w:val="547D1CF3"/>
    <w:rsid w:val="59441031"/>
    <w:rsid w:val="5DF9063C"/>
    <w:rsid w:val="5EF6493A"/>
    <w:rsid w:val="5FDC1FC3"/>
    <w:rsid w:val="607246D5"/>
    <w:rsid w:val="6106379C"/>
    <w:rsid w:val="6194021F"/>
    <w:rsid w:val="67747900"/>
    <w:rsid w:val="6AC1612B"/>
    <w:rsid w:val="6C9F6852"/>
    <w:rsid w:val="6F6A665C"/>
    <w:rsid w:val="731D2FF9"/>
    <w:rsid w:val="76460328"/>
    <w:rsid w:val="77C43611"/>
    <w:rsid w:val="7B3C5B61"/>
    <w:rsid w:val="7C6B6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widowControl w:val="0"/>
      <w:adjustRightInd w:val="0"/>
      <w:spacing w:before="320" w:line="300" w:lineRule="auto"/>
      <w:jc w:val="both"/>
      <w:outlineLvl w:val="0"/>
    </w:pPr>
    <w:rPr>
      <w:rFonts w:ascii="Times New Roman" w:hAnsi="Times New Roman" w:eastAsia="黑体" w:cs="Times New Roman"/>
      <w:color w:val="000000"/>
      <w:kern w:val="44"/>
      <w:sz w:val="32"/>
      <w:szCs w:val="44"/>
      <w:lang w:bidi="ar-SA"/>
    </w:rPr>
  </w:style>
  <w:style w:type="paragraph" w:styleId="3">
    <w:name w:val="heading 2"/>
    <w:next w:val="1"/>
    <w:unhideWhenUsed/>
    <w:qFormat/>
    <w:uiPriority w:val="0"/>
    <w:pPr>
      <w:widowControl w:val="0"/>
      <w:adjustRightInd w:val="0"/>
      <w:spacing w:before="280" w:line="300" w:lineRule="auto"/>
      <w:jc w:val="both"/>
      <w:outlineLvl w:val="1"/>
    </w:pPr>
    <w:rPr>
      <w:rFonts w:ascii="Times New Roman" w:hAnsi="Times New Roman" w:eastAsia="黑体" w:cs="Times New Roman"/>
      <w:kern w:val="2"/>
      <w:sz w:val="30"/>
      <w:szCs w:val="32"/>
      <w:lang w:bidi="ar-SA"/>
    </w:rPr>
  </w:style>
  <w:style w:type="paragraph" w:styleId="4">
    <w:name w:val="heading 3"/>
    <w:next w:val="1"/>
    <w:semiHidden/>
    <w:unhideWhenUsed/>
    <w:qFormat/>
    <w:uiPriority w:val="0"/>
    <w:pPr>
      <w:keepNext/>
      <w:keepLines/>
      <w:widowControl w:val="0"/>
      <w:adjustRightInd w:val="0"/>
      <w:spacing w:before="240" w:line="300" w:lineRule="auto"/>
      <w:jc w:val="both"/>
      <w:outlineLvl w:val="2"/>
    </w:pPr>
    <w:rPr>
      <w:rFonts w:ascii="Times New Roman" w:hAnsi="Times New Roman" w:eastAsia="黑体" w:cs="Times New Roman"/>
      <w:kern w:val="2"/>
      <w:sz w:val="30"/>
      <w:szCs w:val="24"/>
      <w:lang w:bidi="ar-SA"/>
    </w:rPr>
  </w:style>
  <w:style w:type="paragraph" w:styleId="5">
    <w:name w:val="heading 4"/>
    <w:next w:val="1"/>
    <w:semiHidden/>
    <w:unhideWhenUsed/>
    <w:qFormat/>
    <w:uiPriority w:val="0"/>
    <w:pPr>
      <w:keepNext/>
      <w:keepLines/>
      <w:widowControl w:val="0"/>
      <w:adjustRightInd w:val="0"/>
      <w:spacing w:before="200" w:line="300" w:lineRule="auto"/>
      <w:jc w:val="both"/>
      <w:outlineLvl w:val="3"/>
    </w:pPr>
    <w:rPr>
      <w:rFonts w:ascii="Times New Roman" w:hAnsi="Times New Roman" w:eastAsia="黑体" w:cs="Times New Roman"/>
      <w:bCs/>
      <w:kern w:val="2"/>
      <w:sz w:val="28"/>
      <w:szCs w:val="28"/>
      <w:lang w:bidi="ar-SA"/>
    </w:rPr>
  </w:style>
  <w:style w:type="paragraph" w:styleId="6">
    <w:name w:val="heading 5"/>
    <w:next w:val="1"/>
    <w:semiHidden/>
    <w:unhideWhenUsed/>
    <w:qFormat/>
    <w:uiPriority w:val="0"/>
    <w:pPr>
      <w:keepNext/>
      <w:keepLines/>
      <w:widowControl w:val="0"/>
      <w:adjustRightInd w:val="0"/>
      <w:spacing w:before="160" w:line="300" w:lineRule="auto"/>
      <w:jc w:val="both"/>
      <w:outlineLvl w:val="4"/>
    </w:pPr>
    <w:rPr>
      <w:rFonts w:ascii="Times New Roman" w:hAnsi="Times New Roman" w:eastAsia="黑体" w:cs="Times New Roman"/>
      <w:bCs/>
      <w:kern w:val="2"/>
      <w:sz w:val="28"/>
      <w:szCs w:val="28"/>
      <w:lang w:bidi="ar-SA"/>
    </w:rPr>
  </w:style>
  <w:style w:type="paragraph" w:styleId="7">
    <w:name w:val="heading 6"/>
    <w:next w:val="1"/>
    <w:semiHidden/>
    <w:unhideWhenUsed/>
    <w:qFormat/>
    <w:uiPriority w:val="0"/>
    <w:pPr>
      <w:keepNext/>
      <w:keepLines/>
      <w:widowControl w:val="0"/>
      <w:adjustRightInd w:val="0"/>
      <w:spacing w:before="120" w:line="300" w:lineRule="auto"/>
      <w:jc w:val="both"/>
      <w:outlineLvl w:val="5"/>
    </w:pPr>
    <w:rPr>
      <w:rFonts w:ascii="Times New Roman" w:hAnsi="Times New Roman" w:eastAsia="黑体" w:cs="Times New Roman"/>
      <w:bCs/>
      <w:kern w:val="2"/>
      <w:sz w:val="28"/>
      <w:szCs w:val="24"/>
      <w:lang w:bidi="ar-SA"/>
    </w:rPr>
  </w:style>
  <w:style w:type="paragraph" w:styleId="8">
    <w:name w:val="heading 7"/>
    <w:next w:val="1"/>
    <w:semiHidden/>
    <w:unhideWhenUsed/>
    <w:qFormat/>
    <w:uiPriority w:val="0"/>
    <w:pPr>
      <w:keepNext/>
      <w:keepLines/>
      <w:widowControl w:val="0"/>
      <w:adjustRightInd w:val="0"/>
      <w:spacing w:before="120" w:line="300" w:lineRule="auto"/>
      <w:jc w:val="both"/>
      <w:outlineLvl w:val="6"/>
    </w:pPr>
    <w:rPr>
      <w:rFonts w:ascii="Times New Roman" w:hAnsi="Times New Roman" w:eastAsia="黑体" w:cs="Times New Roman"/>
      <w:bCs/>
      <w:kern w:val="2"/>
      <w:sz w:val="24"/>
      <w:szCs w:val="24"/>
      <w:lang w:bidi="ar-SA"/>
    </w:rPr>
  </w:style>
  <w:style w:type="paragraph" w:styleId="9">
    <w:name w:val="heading 8"/>
    <w:next w:val="1"/>
    <w:semiHidden/>
    <w:unhideWhenUsed/>
    <w:qFormat/>
    <w:uiPriority w:val="0"/>
    <w:pPr>
      <w:keepNext/>
      <w:keepLines/>
      <w:widowControl w:val="0"/>
      <w:adjustRightInd w:val="0"/>
      <w:spacing w:before="120" w:line="300" w:lineRule="auto"/>
      <w:jc w:val="both"/>
      <w:outlineLvl w:val="7"/>
    </w:pPr>
    <w:rPr>
      <w:rFonts w:ascii="Times New Roman" w:hAnsi="Times New Roman" w:eastAsia="黑体" w:cs="Times New Roman"/>
      <w:kern w:val="2"/>
      <w:sz w:val="24"/>
      <w:szCs w:val="24"/>
      <w:lang w:bidi="ar-SA"/>
    </w:rPr>
  </w:style>
  <w:style w:type="paragraph" w:styleId="10">
    <w:name w:val="heading 9"/>
    <w:next w:val="1"/>
    <w:semiHidden/>
    <w:unhideWhenUsed/>
    <w:qFormat/>
    <w:uiPriority w:val="0"/>
    <w:pPr>
      <w:keepNext/>
      <w:keepLines/>
      <w:widowControl w:val="0"/>
      <w:adjustRightInd w:val="0"/>
      <w:spacing w:before="120" w:line="300" w:lineRule="auto"/>
      <w:jc w:val="both"/>
      <w:outlineLvl w:val="8"/>
    </w:pPr>
    <w:rPr>
      <w:rFonts w:ascii="Times New Roman" w:hAnsi="Times New Roman" w:eastAsia="黑体" w:cs="Times New Roman"/>
      <w:kern w:val="2"/>
      <w:sz w:val="21"/>
      <w:szCs w:val="21"/>
      <w:lang w:bidi="ar-SA"/>
    </w:rPr>
  </w:style>
  <w:style w:type="character" w:default="1" w:styleId="20">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11">
    <w:name w:val="Normal Indent"/>
    <w:basedOn w:val="1"/>
    <w:next w:val="12"/>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宋体" w:cs="Times New Roman"/>
      <w:kern w:val="2"/>
      <w:sz w:val="21"/>
      <w:szCs w:val="21"/>
      <w:lang w:val="en-US" w:eastAsia="zh-CN" w:bidi="ar"/>
    </w:rPr>
  </w:style>
  <w:style w:type="paragraph" w:styleId="12">
    <w:name w:val="toc 4"/>
    <w:basedOn w:val="1"/>
    <w:next w:val="1"/>
    <w:qFormat/>
    <w:uiPriority w:val="0"/>
    <w:pPr>
      <w:ind w:left="1260" w:leftChars="600"/>
    </w:pPr>
  </w:style>
  <w:style w:type="paragraph" w:styleId="13">
    <w:name w:val="Body Text"/>
    <w:basedOn w:val="1"/>
    <w:next w:val="1"/>
    <w:qFormat/>
    <w:uiPriority w:val="0"/>
    <w:pPr>
      <w:widowControl w:val="0"/>
      <w:adjustRightInd w:val="0"/>
      <w:spacing w:before="100" w:after="100" w:afterLines="0" w:afterAutospacing="0" w:line="300" w:lineRule="auto"/>
      <w:ind w:firstLine="1044" w:firstLineChars="200"/>
      <w:jc w:val="both"/>
    </w:pPr>
    <w:rPr>
      <w:rFonts w:ascii="Times New Roman" w:hAnsi="Times New Roman" w:eastAsia="宋体" w:cs="Times New Roman"/>
      <w:kern w:val="2"/>
      <w:sz w:val="24"/>
      <w:szCs w:val="24"/>
      <w:lang w:bidi="ar-SA"/>
    </w:rPr>
  </w:style>
  <w:style w:type="paragraph" w:styleId="14">
    <w:name w:val="footer"/>
    <w:basedOn w:val="1"/>
    <w:uiPriority w:val="0"/>
    <w:pPr>
      <w:tabs>
        <w:tab w:val="center" w:pos="4153"/>
        <w:tab w:val="right" w:pos="8306"/>
      </w:tabs>
      <w:snapToGrid w:val="0"/>
      <w:jc w:val="left"/>
    </w:pPr>
    <w:rPr>
      <w:sz w:val="18"/>
    </w:rPr>
  </w:style>
  <w:style w:type="paragraph" w:styleId="1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6">
    <w:name w:val="Subtitle"/>
    <w:qFormat/>
    <w:uiPriority w:val="0"/>
    <w:pPr>
      <w:widowControl w:val="0"/>
      <w:adjustRightInd w:val="0"/>
      <w:spacing w:before="100" w:after="100" w:line="240" w:lineRule="auto"/>
      <w:jc w:val="center"/>
      <w:outlineLvl w:val="9"/>
    </w:pPr>
    <w:rPr>
      <w:rFonts w:ascii="Times New Roman" w:hAnsi="Times New Roman" w:eastAsia="黑体" w:cs="Times New Roman"/>
      <w:kern w:val="28"/>
      <w:sz w:val="32"/>
      <w:szCs w:val="24"/>
      <w:lang w:bidi="ar-SA"/>
    </w:rPr>
  </w:style>
  <w:style w:type="paragraph" w:styleId="17">
    <w:name w:val="Normal (Web)"/>
    <w:basedOn w:val="1"/>
    <w:qFormat/>
    <w:uiPriority w:val="0"/>
    <w:rPr>
      <w:sz w:val="24"/>
    </w:rPr>
  </w:style>
  <w:style w:type="paragraph" w:styleId="18">
    <w:name w:val="Title"/>
    <w:qFormat/>
    <w:uiPriority w:val="0"/>
    <w:pPr>
      <w:widowControl w:val="0"/>
      <w:adjustRightInd w:val="0"/>
      <w:spacing w:before="100" w:beforeAutospacing="0" w:after="100" w:afterAutospacing="0" w:line="240" w:lineRule="auto"/>
      <w:jc w:val="center"/>
      <w:outlineLvl w:val="9"/>
    </w:pPr>
    <w:rPr>
      <w:rFonts w:ascii="Times New Roman" w:hAnsi="Times New Roman" w:eastAsia="黑体" w:cs="Times New Roman"/>
      <w:kern w:val="2"/>
      <w:sz w:val="36"/>
      <w:szCs w:val="24"/>
      <w:lang w:bidi="ar-SA"/>
    </w:rPr>
  </w:style>
  <w:style w:type="character" w:styleId="21">
    <w:name w:val="Strong"/>
    <w:basedOn w:val="20"/>
    <w:qFormat/>
    <w:uiPriority w:val="0"/>
    <w:rPr>
      <w:b/>
    </w:rPr>
  </w:style>
  <w:style w:type="character" w:styleId="22">
    <w:name w:val="Emphasis"/>
    <w:basedOn w:val="20"/>
    <w:qFormat/>
    <w:uiPriority w:val="0"/>
    <w:rPr>
      <w:i/>
    </w:rPr>
  </w:style>
  <w:style w:type="character" w:styleId="23">
    <w:name w:val="Hyperlink"/>
    <w:basedOn w:val="20"/>
    <w:qFormat/>
    <w:uiPriority w:val="0"/>
    <w:rPr>
      <w:color w:val="0000FF"/>
      <w:u w:val="single"/>
    </w:rPr>
  </w:style>
  <w:style w:type="paragraph" w:customStyle="1" w:styleId="24">
    <w:name w:val="题注1"/>
    <w:next w:val="1"/>
    <w:qFormat/>
    <w:uiPriority w:val="0"/>
    <w:pPr>
      <w:widowControl w:val="0"/>
      <w:adjustRightInd w:val="0"/>
      <w:spacing w:before="240" w:after="120" w:line="288" w:lineRule="auto"/>
      <w:jc w:val="center"/>
    </w:pPr>
    <w:rPr>
      <w:rFonts w:ascii="Times New Roman" w:hAnsi="Times New Roman" w:eastAsia="宋体" w:cs="宋体"/>
      <w:kern w:val="2"/>
      <w:sz w:val="24"/>
      <w:szCs w:val="22"/>
      <w:lang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1449</Words>
  <Characters>1586</Characters>
  <Lines>0</Lines>
  <Paragraphs>0</Paragraphs>
  <TotalTime>5</TotalTime>
  <ScaleCrop>false</ScaleCrop>
  <LinksUpToDate>false</LinksUpToDate>
  <CharactersWithSpaces>1596</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2025-12-17T02:25:00Z</dcterms:created>
  <dc:creator>乐游</dc:creator>
  <cp:lastModifiedBy>z</cp:lastModifiedBy>
  <cp:lastPrinted>2026-08-18T07:41:00Z</cp:lastPrinted>
  <dcterms:modified xsi:type="dcterms:W3CDTF">2026-08-31T00:38:39Z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94E4C2BF10FC454D8D581E4629989B34</vt:lpwstr>
  </property>
  <property fmtid="{D5CDD505-2E9C-101B-9397-08002B2CF9AE}" pid="4" name="KSOTemplateDocerSaveRecord">
    <vt:lpwstr>eyJoZGlkIjoiNmVmMzRlNGFhMzg3NWY5ZDk1MDcxMDYxN2I5NTQ3NmYifQ==</vt:lpwstr>
  </property>
</Properties>
</file>