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EC40">
      <w:pPr>
        <w:pStyle w:val="14"/>
        <w:jc w:val="center"/>
        <w:rPr>
          <w:rFonts w:hint="eastAsia"/>
          <w:lang w:eastAsia="zh-CN"/>
        </w:rPr>
      </w:pPr>
    </w:p>
    <w:p w14:paraId="4DCFA488">
      <w:pPr>
        <w:pStyle w:val="14"/>
        <w:jc w:val="center"/>
      </w:pPr>
      <w:r>
        <w:rPr>
          <w:rFonts w:hint="eastAsia"/>
          <w:lang w:eastAsia="zh-CN"/>
        </w:rPr>
        <w:t>四平</w:t>
      </w:r>
      <w:r>
        <w:t>红嘴经济技术开发区</w:t>
      </w:r>
      <w:r>
        <w:rPr>
          <w:rFonts w:hint="eastAsia"/>
          <w:lang w:val="en-US" w:eastAsia="zh-CN"/>
        </w:rPr>
        <w:t>2025-05#</w:t>
      </w:r>
      <w:r>
        <w:t>地块控制性详细规划（</w:t>
      </w:r>
      <w:r>
        <w:rPr>
          <w:rFonts w:hint="eastAsia"/>
          <w:lang w:val="en-US" w:eastAsia="zh-CN"/>
        </w:rPr>
        <w:t>草案公示</w:t>
      </w:r>
      <w:r>
        <w:t>）</w:t>
      </w:r>
    </w:p>
    <w:p w14:paraId="2FAAA44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规划概述</w:t>
      </w:r>
    </w:p>
    <w:p w14:paraId="2D32D600">
      <w:pPr>
        <w:pStyle w:val="11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为落实《四平市国土空间总体规划（2021—2035年）》有关要求，推进红嘴经济技术开发区绿色低碳型产业转型升级，提升土地集约利用效率，特编制本控制性详细规划。该地块已纳入城镇开发边界范围内，不涉及永久基本农田和生态保护红线。</w:t>
      </w:r>
    </w:p>
    <w:p w14:paraId="6DEDAF14">
      <w:pPr>
        <w:pStyle w:val="11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规划范围：位于四平红嘴经济技术开发区内，东至规划边界，西临慧智街，南接创业路，北抵兴红路，总用地面积约2.77公顷。</w:t>
      </w:r>
    </w:p>
    <w:p w14:paraId="14E7195C">
      <w:pPr>
        <w:pStyle w:val="11"/>
        <w:rPr>
          <w:rFonts w:hint="eastAsia" w:eastAsia="宋体"/>
          <w:lang w:eastAsia="zh-CN"/>
        </w:rPr>
      </w:pPr>
      <w:r>
        <w:t>公示依据：《中华人民共和国城乡规划法》《吉林省国土空间规划条例》《城市详细规划编制规范》等相关法律法规及</w:t>
      </w:r>
      <w:r>
        <w:rPr>
          <w:rFonts w:hint="eastAsia"/>
          <w:lang w:eastAsia="zh-CN"/>
        </w:rPr>
        <w:t>技术规范</w:t>
      </w:r>
      <w:r>
        <w:t>。</w:t>
      </w:r>
    </w:p>
    <w:p w14:paraId="7499A2CD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编制依据：</w:t>
      </w:r>
    </w:p>
    <w:p w14:paraId="1D9DC192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《中华人民共和国城乡规划法》（2019修正）；</w:t>
      </w:r>
    </w:p>
    <w:p w14:paraId="1F4D784B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《中华人民共和国土地管理法》（2019修正）；</w:t>
      </w:r>
    </w:p>
    <w:p w14:paraId="41BD4EE1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《中华人民共和国环境保护法》（2014修正）；</w:t>
      </w:r>
    </w:p>
    <w:p w14:paraId="37AF4ABC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《城市、镇控制性详细规划编制办法》；</w:t>
      </w:r>
    </w:p>
    <w:p w14:paraId="5653A862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《城市规划编制办法》；</w:t>
      </w:r>
    </w:p>
    <w:p w14:paraId="290308F8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《城乡规划编制办法实施细则》；</w:t>
      </w:r>
    </w:p>
    <w:p w14:paraId="46CC1B10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《中共中央国务院关于建立国土空间规划体系并监督实施的若干意见》（中发〔2019〕18号）；</w:t>
      </w:r>
    </w:p>
    <w:p w14:paraId="29BCC128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《自然资源部关于进一步加强国土空间规划编制和实施管理的通知》（自然资发〔2022〕186号）；</w:t>
      </w:r>
    </w:p>
    <w:p w14:paraId="6B158F31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《自然资源部关于加强国土空间详细规划工作的通知》（自然资发〔2023〕43号）；</w:t>
      </w:r>
    </w:p>
    <w:p w14:paraId="3A5F8047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《国土空间调查、规划、用途管制用地用海分类指南》；</w:t>
      </w:r>
    </w:p>
    <w:p w14:paraId="35D5DD59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《工业项目建设用地控制指标》</w:t>
      </w:r>
    </w:p>
    <w:p w14:paraId="514A378C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《吉林省城乡规划条例》；</w:t>
      </w:r>
    </w:p>
    <w:p w14:paraId="71A64C95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《吉林省城镇开发边界内详细规划导则》（试行）；</w:t>
      </w:r>
    </w:p>
    <w:p w14:paraId="0332DDA7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《四平市国民经济和社会发展第十四个五年规划和2035年远景目标纲要》；</w:t>
      </w:r>
    </w:p>
    <w:p w14:paraId="361B4201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《四平市国土空间总体规划（2021-2035年）》；</w:t>
      </w:r>
    </w:p>
    <w:p w14:paraId="55F8896C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《四平红嘴经济技术开发区产业布局规划（2020-2035）环境影响补充报告书》</w:t>
      </w:r>
    </w:p>
    <w:p w14:paraId="096C5F69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四平市建筑退线要求、停车配建要求等地方规定；</w:t>
      </w:r>
    </w:p>
    <w:p w14:paraId="6693A232">
      <w:pPr>
        <w:pStyle w:val="1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其他相关法律法规、政策文件、技术标准及现场采集的资料。</w:t>
      </w:r>
    </w:p>
    <w:p w14:paraId="22DCE8CB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核心规划内容</w:t>
      </w:r>
    </w:p>
    <w:p w14:paraId="7BD1B9D5">
      <w:pPr>
        <w:pStyle w:val="3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、目标定位</w:t>
      </w:r>
    </w:p>
    <w:p w14:paraId="445ABF2A">
      <w:pPr>
        <w:pStyle w:val="11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目标定位：推进红嘴经济技术开发区产业发展的重要抓手，产业绿色低碳转型示范企业。</w:t>
      </w:r>
    </w:p>
    <w:p w14:paraId="19447963">
      <w:pPr>
        <w:pStyle w:val="3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、景观风貌</w:t>
      </w:r>
    </w:p>
    <w:p w14:paraId="377A2FBB">
      <w:pPr>
        <w:pStyle w:val="11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/>
          <w:lang w:eastAsia="zh-CN"/>
        </w:rPr>
        <w:t>风貌引导：</w:t>
      </w:r>
      <w:r>
        <w:rPr>
          <w:rFonts w:hint="eastAsia" w:ascii="Times New Roman" w:hAnsi="Times New Roman" w:eastAsia="宋体" w:cs="Times New Roman"/>
          <w:lang w:val="zh-CN" w:eastAsia="zh-CN"/>
        </w:rPr>
        <w:t>规划和建筑设计阶段结合地域位置提出城市设计要求，处理好景观效果、建筑色彩、建筑外装修标准。建筑风格要简洁、明快，富有时代特色，</w:t>
      </w:r>
      <w:r>
        <w:rPr>
          <w:rFonts w:hint="eastAsia"/>
          <w:lang w:eastAsia="zh-CN"/>
        </w:rPr>
        <w:t>体现工业美学特征，</w:t>
      </w:r>
      <w:r>
        <w:rPr>
          <w:rFonts w:hint="eastAsia"/>
          <w:lang w:val="en-US" w:eastAsia="zh-CN"/>
        </w:rPr>
        <w:t>并与周边环境相协调。</w:t>
      </w:r>
      <w:r>
        <w:rPr>
          <w:rFonts w:hint="eastAsia" w:ascii="Times New Roman" w:hAnsi="Times New Roman" w:eastAsia="宋体" w:cs="Times New Roman"/>
          <w:lang w:val="zh-CN" w:eastAsia="zh-CN"/>
        </w:rPr>
        <w:t>建筑色彩应体现寒地城</w:t>
      </w:r>
      <w:bookmarkStart w:id="0" w:name="_GoBack"/>
      <w:bookmarkEnd w:id="0"/>
      <w:r>
        <w:rPr>
          <w:rFonts w:hint="eastAsia" w:ascii="Times New Roman" w:hAnsi="Times New Roman" w:eastAsia="宋体" w:cs="Times New Roman"/>
          <w:lang w:val="zh-CN" w:eastAsia="zh-CN"/>
        </w:rPr>
        <w:t>市的特点。</w:t>
      </w:r>
    </w:p>
    <w:p w14:paraId="03138401">
      <w:pPr>
        <w:pStyle w:val="11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开敞空间：沿慧智街、兴红路应设置宽度不少于10米的防护绿带。</w:t>
      </w:r>
    </w:p>
    <w:p w14:paraId="7EC46E37">
      <w:pPr>
        <w:pStyle w:val="3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3、道路交通规划</w:t>
      </w:r>
    </w:p>
    <w:p w14:paraId="52603FE1">
      <w:pPr>
        <w:pStyle w:val="11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出入口：机动车主出入口宜设置于创业路、慧智街。</w:t>
      </w:r>
    </w:p>
    <w:p w14:paraId="038E78D9">
      <w:pPr>
        <w:pStyle w:val="3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、市政基础设施</w:t>
      </w:r>
    </w:p>
    <w:p w14:paraId="51197479">
      <w:pPr>
        <w:pStyle w:val="11"/>
        <w:rPr>
          <w:rFonts w:hint="eastAsia" w:eastAsia="宋体"/>
          <w:lang w:eastAsia="zh-CN"/>
        </w:rPr>
      </w:pPr>
      <w:r>
        <w:t>供水、排水、供电、燃气、通信、供热等管线</w:t>
      </w:r>
      <w:r>
        <w:rPr>
          <w:rFonts w:hint="eastAsia"/>
          <w:lang w:eastAsia="zh-CN"/>
        </w:rPr>
        <w:t>应统一由</w:t>
      </w:r>
      <w:r>
        <w:t>周边道路市政管网接入，排水体制</w:t>
      </w:r>
      <w:r>
        <w:rPr>
          <w:rFonts w:hint="eastAsia"/>
          <w:lang w:eastAsia="zh-CN"/>
        </w:rPr>
        <w:t>采用</w:t>
      </w:r>
      <w:r>
        <w:t>雨污分流。</w:t>
      </w:r>
    </w:p>
    <w:p w14:paraId="17CFC02B">
      <w:pPr>
        <w:pStyle w:val="11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海绵城市：鼓励应用透水铺装、下沉式绿地等低影响开发设施。</w:t>
      </w:r>
    </w:p>
    <w:p w14:paraId="70655789">
      <w:pPr>
        <w:pStyle w:val="3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、安全与防灾</w:t>
      </w:r>
    </w:p>
    <w:p w14:paraId="60FD34BF">
      <w:pPr>
        <w:pStyle w:val="11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消防：建筑及总平面设计应严格遵循《建筑设计防火规范》，保障消防通道畅通无阻。</w:t>
      </w:r>
    </w:p>
    <w:p w14:paraId="2BE4F3EA">
      <w:pPr>
        <w:pStyle w:val="3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、规划控制线</w:t>
      </w:r>
    </w:p>
    <w:p w14:paraId="36199EB7">
      <w:pPr>
        <w:pStyle w:val="11"/>
        <w:rPr>
          <w:rFonts w:hint="eastAsia" w:eastAsia="宋体"/>
          <w:lang w:eastAsia="zh-CN"/>
        </w:rPr>
      </w:pPr>
      <w:r>
        <w:t>四线控制：本规划不涉及城市绿线、蓝线、黄线及紫线控制。</w:t>
      </w:r>
    </w:p>
    <w:p w14:paraId="44C6D02B">
      <w:pPr>
        <w:pStyle w:val="11"/>
        <w:rPr>
          <w:rFonts w:hint="eastAsia"/>
          <w:lang w:eastAsia="zh-CN"/>
        </w:rPr>
      </w:pPr>
    </w:p>
    <w:p w14:paraId="0DAA386C">
      <w:pPr>
        <w:pStyle w:val="11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本规划经批准后，即作为国土空间用途管制及核发建设用地规划许可证、建设工程规划许可证的法定依据。任何单位和个人不得擅自变更；确需修改的，须按法定程序报批。</w:t>
      </w:r>
    </w:p>
    <w:p w14:paraId="7048EF4D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6863B"/>
    <w:multiLevelType w:val="singleLevel"/>
    <w:tmpl w:val="6CE6863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TJjOWY4ODQxODAxZTI4YjFhM2IyOWRhY2VmYjkifQ=="/>
  </w:docVars>
  <w:rsids>
    <w:rsidRoot w:val="0CC37827"/>
    <w:rsid w:val="02CE04CF"/>
    <w:rsid w:val="03F86B1C"/>
    <w:rsid w:val="0BB66575"/>
    <w:rsid w:val="0CC37827"/>
    <w:rsid w:val="0CEF2A86"/>
    <w:rsid w:val="101F18D4"/>
    <w:rsid w:val="143556B4"/>
    <w:rsid w:val="20A50C14"/>
    <w:rsid w:val="22821F7B"/>
    <w:rsid w:val="2B984192"/>
    <w:rsid w:val="32CA25D0"/>
    <w:rsid w:val="34CE7ACB"/>
    <w:rsid w:val="3A74554C"/>
    <w:rsid w:val="40447D11"/>
    <w:rsid w:val="41566655"/>
    <w:rsid w:val="47887E1C"/>
    <w:rsid w:val="4AE313A2"/>
    <w:rsid w:val="547D1CF3"/>
    <w:rsid w:val="59441031"/>
    <w:rsid w:val="5DF9063C"/>
    <w:rsid w:val="5FDC1FC3"/>
    <w:rsid w:val="607246D5"/>
    <w:rsid w:val="6106379C"/>
    <w:rsid w:val="6C9F6852"/>
    <w:rsid w:val="77C43611"/>
    <w:rsid w:val="7B3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autoRedefine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autoRedefine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autoRedefine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autoRedefine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autoRedefine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autoRedefine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autoRedefine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Emphasis"/>
    <w:basedOn w:val="16"/>
    <w:autoRedefine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题注1"/>
    <w:next w:val="1"/>
    <w:autoRedefine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2025-12-17T02:25:00Z</dcterms:created>
  <dc:creator>乐游</dc:creator>
  <cp:lastModifiedBy>miaomiao</cp:lastModifiedBy>
  <cp:lastPrinted>2025-12-24T02:24:00Z</cp:lastPrinted>
  <dcterms:modified xsi:type="dcterms:W3CDTF">2025-12-24T02:35:18Z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2D4E207877AA4A6ABC47F77F55C7A548_13</vt:lpwstr>
  </property>
  <property fmtid="{D5CDD505-2E9C-101B-9397-08002B2CF9AE}" pid="4" name="KSOTemplateDocerSaveRecord">
    <vt:lpwstr>eyJoZGlkIjoiNmVmMzRlNGFhMzg3NWY5ZDk1MDcxMDYxN2I5NTQ3NmYifQ==</vt:lpwstr>
  </property>
</Properties>
</file>